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77A8A" w:rsidRDefault="00F77A8A"/>
    <w:p w:rsidR="00F77A8A" w:rsidRDefault="00F77A8A">
      <w:r>
        <w:tab/>
      </w:r>
      <w:r>
        <w:tab/>
      </w:r>
    </w:p>
    <w:p w:rsidR="00F77A8A" w:rsidRDefault="00F77A8A"/>
    <w:p w:rsidR="00F77A8A" w:rsidRDefault="00F77A8A"/>
    <w:p w:rsidR="00F77A8A" w:rsidRDefault="00F77A8A"/>
    <w:p w:rsidR="00F77A8A" w:rsidRDefault="00F77A8A">
      <w:pPr>
        <w:spacing w:after="100" w:line="288" w:lineRule="exact"/>
        <w:jc w:val="center"/>
      </w:pPr>
    </w:p>
    <w:p w:rsidR="00F77A8A" w:rsidRDefault="00F77A8A"/>
    <w:p w:rsidR="00F77A8A" w:rsidRDefault="00F77A8A"/>
    <w:p w:rsidR="00F77A8A" w:rsidRDefault="00F77A8A"/>
    <w:p w:rsidR="00F77A8A" w:rsidRDefault="00F77A8A"/>
    <w:p w:rsidR="00F77A8A" w:rsidRDefault="00F77A8A">
      <w:pPr>
        <w:spacing w:line="288" w:lineRule="exact"/>
        <w:jc w:val="center"/>
        <w:rPr>
          <w:b/>
          <w:sz w:val="28"/>
        </w:rPr>
      </w:pPr>
      <w:r>
        <w:rPr>
          <w:b/>
          <w:sz w:val="28"/>
        </w:rPr>
        <w:t>TÜRKİYE CUMHURİYETİ</w:t>
      </w:r>
    </w:p>
    <w:p w:rsidR="00F77A8A" w:rsidRDefault="00F77A8A"/>
    <w:p w:rsidR="00F77A8A" w:rsidRDefault="00F77A8A">
      <w:pPr>
        <w:spacing w:line="288" w:lineRule="exact"/>
        <w:jc w:val="center"/>
        <w:rPr>
          <w:b/>
          <w:sz w:val="32"/>
        </w:rPr>
      </w:pPr>
      <w:r>
        <w:rPr>
          <w:b/>
          <w:sz w:val="32"/>
        </w:rPr>
        <w:t>ANAYASA MAHKEMESİ</w:t>
      </w:r>
    </w:p>
    <w:p w:rsidR="00F77A8A" w:rsidRDefault="00F77A8A"/>
    <w:p w:rsidR="00F77A8A" w:rsidRDefault="00F77A8A"/>
    <w:p w:rsidR="00F77A8A" w:rsidRDefault="00F77A8A"/>
    <w:p w:rsidR="00F77A8A" w:rsidRDefault="00F77A8A"/>
    <w:p w:rsidR="00F77A8A" w:rsidRDefault="00F77A8A">
      <w:pPr>
        <w:spacing w:line="288" w:lineRule="exact"/>
        <w:jc w:val="center"/>
        <w:rPr>
          <w:b/>
          <w:sz w:val="28"/>
        </w:rPr>
      </w:pPr>
      <w:r>
        <w:rPr>
          <w:b/>
          <w:sz w:val="28"/>
        </w:rPr>
        <w:t>İKİNCİ BÖLÜM</w:t>
      </w:r>
    </w:p>
    <w:p w:rsidR="00F77A8A" w:rsidRDefault="00F77A8A"/>
    <w:p w:rsidR="00F77A8A" w:rsidRDefault="00F77A8A"/>
    <w:p w:rsidR="00F77A8A" w:rsidRDefault="00F77A8A"/>
    <w:p w:rsidR="00F77A8A" w:rsidRDefault="00F77A8A">
      <w:pPr>
        <w:spacing w:line="288" w:lineRule="exact"/>
        <w:jc w:val="center"/>
        <w:rPr>
          <w:b/>
        </w:rPr>
      </w:pPr>
      <w:r>
        <w:rPr>
          <w:b/>
        </w:rPr>
        <w:t>KARAR</w:t>
      </w:r>
    </w:p>
    <w:p w:rsidR="00F77A8A" w:rsidRDefault="00F77A8A">
      <w:pPr>
        <w:spacing w:line="288" w:lineRule="exact"/>
        <w:jc w:val="center"/>
      </w:pPr>
    </w:p>
    <w:p w:rsidR="00F77A8A" w:rsidRDefault="00F77A8A">
      <w:pPr>
        <w:spacing w:line="288" w:lineRule="exact"/>
        <w:jc w:val="center"/>
      </w:pPr>
    </w:p>
    <w:p w:rsidR="00F77A8A" w:rsidRDefault="00F77A8A">
      <w:pPr>
        <w:spacing w:line="288" w:lineRule="exact"/>
        <w:jc w:val="center"/>
      </w:pPr>
    </w:p>
    <w:p w:rsidR="00F77A8A" w:rsidRDefault="00F77A8A">
      <w:pPr>
        <w:spacing w:line="288" w:lineRule="exact"/>
        <w:jc w:val="center"/>
        <w:rPr>
          <w:b/>
        </w:rPr>
      </w:pPr>
      <w:r>
        <w:rPr>
          <w:b/>
        </w:rPr>
        <w:t>BELKİS YURTSEVER VE YILMAZ YILDIZ BAŞVURUSU</w:t>
      </w:r>
    </w:p>
    <w:p w:rsidR="00F77A8A" w:rsidRDefault="00F77A8A">
      <w:pPr>
        <w:spacing w:line="288" w:lineRule="exact"/>
        <w:jc w:val="center"/>
      </w:pPr>
    </w:p>
    <w:p w:rsidR="00F77A8A" w:rsidRDefault="00F77A8A">
      <w:pPr>
        <w:spacing w:line="288" w:lineRule="exact"/>
        <w:jc w:val="center"/>
      </w:pPr>
      <w:r>
        <w:t>(Başvuru Numarası: 2016/10400)</w:t>
      </w:r>
    </w:p>
    <w:p w:rsidR="00F77A8A" w:rsidRDefault="00F77A8A">
      <w:pPr>
        <w:spacing w:line="288" w:lineRule="exact"/>
        <w:jc w:val="center"/>
      </w:pPr>
    </w:p>
    <w:p w:rsidR="00F77A8A" w:rsidRDefault="00F77A8A">
      <w:pPr>
        <w:spacing w:line="288" w:lineRule="exact"/>
        <w:jc w:val="center"/>
      </w:pPr>
    </w:p>
    <w:p w:rsidR="00F77A8A" w:rsidRDefault="00F77A8A"/>
    <w:p w:rsidR="007574A0" w:rsidRDefault="00F77A8A">
      <w:pPr>
        <w:spacing w:line="288" w:lineRule="exact"/>
        <w:jc w:val="center"/>
        <w:sectPr w:rsidR="007574A0" w:rsidSect="007574A0">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25/9/2019</w:t>
      </w:r>
      <w:proofErr w:type="gramEnd"/>
    </w:p>
    <w:p w:rsidR="00F77A8A" w:rsidRDefault="00F77A8A">
      <w:pPr>
        <w:spacing w:line="288" w:lineRule="exact"/>
        <w:jc w:val="center"/>
      </w:pPr>
    </w:p>
    <w:p w:rsidR="00F77A8A" w:rsidRDefault="00F77A8A">
      <w:pPr>
        <w:spacing w:line="288" w:lineRule="exact"/>
        <w:jc w:val="center"/>
        <w:rPr>
          <w:b/>
        </w:rPr>
      </w:pPr>
      <w:r>
        <w:rPr>
          <w:b/>
        </w:rPr>
        <w:t>İKİNCİ BÖLÜM</w:t>
      </w:r>
    </w:p>
    <w:p w:rsidR="00F77A8A" w:rsidRDefault="00F77A8A">
      <w:pPr>
        <w:spacing w:line="288" w:lineRule="exact"/>
        <w:jc w:val="center"/>
      </w:pPr>
    </w:p>
    <w:p w:rsidR="00F77A8A" w:rsidRDefault="00F77A8A">
      <w:pPr>
        <w:spacing w:line="288" w:lineRule="exact"/>
        <w:jc w:val="center"/>
      </w:pPr>
    </w:p>
    <w:p w:rsidR="00F77A8A" w:rsidRDefault="00F77A8A">
      <w:pPr>
        <w:spacing w:line="288" w:lineRule="exact"/>
        <w:jc w:val="center"/>
        <w:rPr>
          <w:b/>
        </w:rPr>
      </w:pPr>
      <w:r>
        <w:rPr>
          <w:b/>
        </w:rPr>
        <w:t>KARAR</w:t>
      </w:r>
    </w:p>
    <w:p w:rsidR="00F77A8A" w:rsidRDefault="00F77A8A">
      <w:pPr>
        <w:spacing w:line="288" w:lineRule="exact"/>
        <w:ind w:firstLine="829"/>
      </w:pPr>
    </w:p>
    <w:p w:rsidR="00F77A8A" w:rsidRDefault="00F77A8A">
      <w:pPr>
        <w:spacing w:line="288" w:lineRule="exact"/>
        <w:ind w:firstLine="829"/>
      </w:pPr>
    </w:p>
    <w:p w:rsidR="00F77A8A" w:rsidRDefault="00F77A8A">
      <w:pPr>
        <w:spacing w:line="288" w:lineRule="exact"/>
        <w:ind w:firstLine="829"/>
      </w:pPr>
    </w:p>
    <w:p w:rsidR="00F77A8A" w:rsidRDefault="00F77A8A">
      <w:pPr>
        <w:pStyle w:val="edf1393440552765"/>
        <w:tabs>
          <w:tab w:val="left" w:pos="2880"/>
          <w:tab w:val="left" w:pos="3100"/>
        </w:tabs>
        <w:spacing w:after="100" w:line="288" w:lineRule="exact"/>
        <w:ind w:firstLine="857"/>
        <w:jc w:val="both"/>
      </w:pPr>
      <w:r>
        <w:rPr>
          <w:b/>
        </w:rPr>
        <w:t>Başkan</w:t>
      </w:r>
      <w:r>
        <w:tab/>
      </w:r>
      <w:r>
        <w:rPr>
          <w:b/>
        </w:rPr>
        <w:t>:</w:t>
      </w:r>
      <w:r>
        <w:tab/>
        <w:t>Engin YILDIRIM</w:t>
      </w:r>
    </w:p>
    <w:p w:rsidR="00F77A8A" w:rsidRDefault="00F77A8A">
      <w:pPr>
        <w:pStyle w:val="edf1393440552765"/>
        <w:tabs>
          <w:tab w:val="left" w:pos="2880"/>
          <w:tab w:val="left" w:pos="3100"/>
        </w:tabs>
        <w:spacing w:after="100" w:line="288" w:lineRule="exact"/>
        <w:ind w:firstLine="857"/>
        <w:jc w:val="both"/>
      </w:pPr>
      <w:r>
        <w:rPr>
          <w:b/>
        </w:rPr>
        <w:t>Üyeler</w:t>
      </w:r>
      <w:r>
        <w:tab/>
      </w:r>
      <w:r>
        <w:rPr>
          <w:b/>
        </w:rPr>
        <w:t>:</w:t>
      </w:r>
      <w:r>
        <w:tab/>
        <w:t>Recep KÖMÜRCÜ</w:t>
      </w:r>
    </w:p>
    <w:p w:rsidR="00F77A8A" w:rsidRDefault="00F77A8A">
      <w:pPr>
        <w:pStyle w:val="edf1393440552765"/>
        <w:tabs>
          <w:tab w:val="left" w:pos="2880"/>
          <w:tab w:val="left" w:pos="3100"/>
        </w:tabs>
        <w:spacing w:after="100" w:line="288" w:lineRule="exact"/>
        <w:ind w:firstLine="857"/>
        <w:jc w:val="both"/>
      </w:pPr>
      <w:r>
        <w:tab/>
      </w:r>
      <w:r>
        <w:tab/>
      </w:r>
      <w:proofErr w:type="spellStart"/>
      <w:r>
        <w:t>M.Emin</w:t>
      </w:r>
      <w:proofErr w:type="spellEnd"/>
      <w:r>
        <w:t xml:space="preserve"> KUZ</w:t>
      </w:r>
    </w:p>
    <w:p w:rsidR="00F77A8A" w:rsidRDefault="00F77A8A">
      <w:pPr>
        <w:pStyle w:val="edf1393440552765"/>
        <w:tabs>
          <w:tab w:val="left" w:pos="2880"/>
          <w:tab w:val="left" w:pos="3100"/>
        </w:tabs>
        <w:spacing w:after="100" w:line="288" w:lineRule="exact"/>
        <w:ind w:firstLine="857"/>
        <w:jc w:val="both"/>
      </w:pPr>
      <w:r>
        <w:tab/>
      </w:r>
      <w:r w:rsidR="007574A0">
        <w:tab/>
      </w:r>
      <w:r>
        <w:t>Rıdvan GÜLEÇ</w:t>
      </w:r>
    </w:p>
    <w:p w:rsidR="00F77A8A" w:rsidRDefault="00F77A8A">
      <w:pPr>
        <w:pStyle w:val="edf1393440552765"/>
        <w:tabs>
          <w:tab w:val="left" w:pos="2880"/>
          <w:tab w:val="left" w:pos="3100"/>
        </w:tabs>
        <w:spacing w:after="100" w:line="288" w:lineRule="exact"/>
        <w:ind w:firstLine="857"/>
        <w:jc w:val="both"/>
      </w:pPr>
      <w:r>
        <w:tab/>
      </w:r>
      <w:r>
        <w:tab/>
        <w:t>Yıldız SEFERİNOĞLU</w:t>
      </w:r>
    </w:p>
    <w:p w:rsidR="00F77A8A" w:rsidRDefault="00F77A8A">
      <w:pPr>
        <w:pStyle w:val="edf1393440552765"/>
        <w:tabs>
          <w:tab w:val="left" w:pos="2880"/>
          <w:tab w:val="left" w:pos="3100"/>
        </w:tabs>
        <w:spacing w:after="100" w:line="288" w:lineRule="exact"/>
        <w:ind w:firstLine="857"/>
        <w:jc w:val="both"/>
      </w:pPr>
      <w:r>
        <w:rPr>
          <w:b/>
        </w:rPr>
        <w:t>Raportör</w:t>
      </w:r>
      <w:r>
        <w:tab/>
      </w:r>
      <w:r>
        <w:rPr>
          <w:b/>
        </w:rPr>
        <w:t>:</w:t>
      </w:r>
      <w:r>
        <w:tab/>
        <w:t>Burak FIRAT</w:t>
      </w:r>
    </w:p>
    <w:p w:rsidR="00F77A8A" w:rsidRDefault="00F77A8A">
      <w:pPr>
        <w:pStyle w:val="edf1393440552765"/>
        <w:tabs>
          <w:tab w:val="left" w:pos="2880"/>
          <w:tab w:val="left" w:pos="3100"/>
        </w:tabs>
        <w:spacing w:after="100" w:line="288" w:lineRule="exact"/>
        <w:ind w:firstLine="857"/>
        <w:jc w:val="both"/>
      </w:pPr>
      <w:r>
        <w:rPr>
          <w:b/>
        </w:rPr>
        <w:t>Başvurucular</w:t>
      </w:r>
      <w:r>
        <w:tab/>
      </w:r>
      <w:r>
        <w:rPr>
          <w:b/>
        </w:rPr>
        <w:t>:</w:t>
      </w:r>
      <w:r>
        <w:t xml:space="preserve">  1. </w:t>
      </w:r>
      <w:proofErr w:type="spellStart"/>
      <w:r>
        <w:t>Belkis</w:t>
      </w:r>
      <w:proofErr w:type="spellEnd"/>
      <w:r>
        <w:t xml:space="preserve"> YURTSEVER </w:t>
      </w:r>
    </w:p>
    <w:p w:rsidR="00F77A8A" w:rsidRDefault="00F77A8A" w:rsidP="007574A0">
      <w:pPr>
        <w:pStyle w:val="edf1393440552765"/>
        <w:tabs>
          <w:tab w:val="left" w:pos="2880"/>
          <w:tab w:val="left" w:pos="3100"/>
        </w:tabs>
        <w:spacing w:after="100" w:line="288" w:lineRule="exact"/>
        <w:ind w:firstLine="857"/>
        <w:jc w:val="both"/>
      </w:pPr>
      <w:r>
        <w:tab/>
      </w:r>
      <w:r w:rsidR="007574A0">
        <w:tab/>
      </w:r>
      <w:r>
        <w:t xml:space="preserve">2. Yılmaz YILDIZ </w:t>
      </w:r>
    </w:p>
    <w:p w:rsidR="00F77A8A" w:rsidRDefault="00F77A8A" w:rsidP="007574A0">
      <w:pPr>
        <w:pStyle w:val="edf1393440552765"/>
        <w:tabs>
          <w:tab w:val="left" w:pos="2880"/>
          <w:tab w:val="left" w:pos="3100"/>
        </w:tabs>
        <w:spacing w:after="100" w:line="288" w:lineRule="exact"/>
        <w:ind w:firstLine="857"/>
        <w:jc w:val="both"/>
      </w:pPr>
      <w:r>
        <w:rPr>
          <w:b/>
        </w:rPr>
        <w:t>Vekili</w:t>
      </w:r>
      <w:r>
        <w:tab/>
      </w:r>
      <w:r>
        <w:rPr>
          <w:b/>
        </w:rPr>
        <w:t xml:space="preserve"> :</w:t>
      </w:r>
      <w:r w:rsidR="007574A0">
        <w:rPr>
          <w:b/>
        </w:rPr>
        <w:tab/>
      </w:r>
      <w:r>
        <w:t>Av. Öztürk TÜRKDOĞAN</w:t>
      </w:r>
    </w:p>
    <w:p w:rsidR="00F77A8A" w:rsidRDefault="00F77A8A">
      <w:pPr>
        <w:pStyle w:val="edf1393440552765"/>
        <w:spacing w:after="100" w:line="288" w:lineRule="exact"/>
        <w:ind w:firstLine="857"/>
        <w:jc w:val="both"/>
      </w:pPr>
    </w:p>
    <w:p w:rsidR="00F77A8A" w:rsidRDefault="00F77A8A">
      <w:pPr>
        <w:pStyle w:val="edf1393440552765"/>
        <w:tabs>
          <w:tab w:val="left" w:pos="1240"/>
        </w:tabs>
        <w:spacing w:line="288" w:lineRule="exact"/>
        <w:ind w:firstLine="857"/>
        <w:jc w:val="both"/>
        <w:rPr>
          <w:b/>
        </w:rPr>
      </w:pPr>
      <w:r>
        <w:rPr>
          <w:b/>
        </w:rPr>
        <w:t>I.  BAŞVURUNUN KONUSU</w:t>
      </w:r>
    </w:p>
    <w:p w:rsidR="00F77A8A" w:rsidRDefault="00F77A8A">
      <w:pPr>
        <w:pStyle w:val="edf1393440552765"/>
        <w:tabs>
          <w:tab w:val="left" w:pos="1240"/>
        </w:tabs>
        <w:spacing w:line="288" w:lineRule="exact"/>
        <w:ind w:firstLine="857"/>
        <w:jc w:val="both"/>
      </w:pPr>
    </w:p>
    <w:p w:rsidR="00F77A8A" w:rsidRDefault="00F77A8A">
      <w:pPr>
        <w:pStyle w:val="edf1450279197849"/>
        <w:tabs>
          <w:tab w:val="left" w:pos="1240"/>
        </w:tabs>
        <w:spacing w:line="288" w:lineRule="exact"/>
        <w:ind w:firstLine="857"/>
        <w:jc w:val="both"/>
      </w:pPr>
      <w:r>
        <w:t>1.</w:t>
      </w:r>
      <w:r>
        <w:tab/>
        <w:t>Başvuru, basın açıklamasına katılan başvuruculara idari para cezası verilmesinin toplantı ve gösteri yürüyüşü düzenleme hakkını ihlal ettiği iddiasına ilişkindir.</w:t>
      </w:r>
    </w:p>
    <w:p w:rsidR="00F77A8A" w:rsidRDefault="00F77A8A">
      <w:pPr>
        <w:pStyle w:val="edf1450279197849"/>
        <w:tabs>
          <w:tab w:val="left" w:pos="1240"/>
        </w:tabs>
        <w:spacing w:line="288" w:lineRule="exact"/>
        <w:ind w:firstLine="857"/>
        <w:jc w:val="both"/>
      </w:pPr>
    </w:p>
    <w:p w:rsidR="00F77A8A" w:rsidRDefault="00F77A8A">
      <w:pPr>
        <w:pStyle w:val="edf1450279197849"/>
        <w:tabs>
          <w:tab w:val="left" w:pos="1240"/>
        </w:tabs>
        <w:spacing w:line="288" w:lineRule="exact"/>
        <w:ind w:firstLine="857"/>
        <w:jc w:val="both"/>
        <w:rPr>
          <w:b/>
        </w:rPr>
      </w:pPr>
      <w:r>
        <w:rPr>
          <w:b/>
        </w:rPr>
        <w:t>II.</w:t>
      </w:r>
      <w:r>
        <w:tab/>
      </w:r>
      <w:r>
        <w:rPr>
          <w:b/>
        </w:rPr>
        <w:t>BAŞVURU SÜRECİ</w:t>
      </w:r>
    </w:p>
    <w:p w:rsidR="00F77A8A" w:rsidRDefault="00F77A8A">
      <w:pPr>
        <w:pStyle w:val="edf1450279197849"/>
        <w:tabs>
          <w:tab w:val="left" w:pos="1240"/>
        </w:tabs>
        <w:spacing w:line="288" w:lineRule="exact"/>
        <w:ind w:firstLine="857"/>
        <w:jc w:val="both"/>
      </w:pPr>
    </w:p>
    <w:p w:rsidR="00F77A8A" w:rsidRDefault="00F77A8A">
      <w:pPr>
        <w:tabs>
          <w:tab w:val="left" w:pos="1240"/>
        </w:tabs>
        <w:spacing w:line="288" w:lineRule="exact"/>
        <w:ind w:firstLine="857"/>
        <w:jc w:val="both"/>
      </w:pPr>
      <w:r>
        <w:t>2.</w:t>
      </w:r>
      <w:r>
        <w:tab/>
        <w:t xml:space="preserve">Başvurular </w:t>
      </w:r>
      <w:proofErr w:type="gramStart"/>
      <w:r>
        <w:t>3/6/2016</w:t>
      </w:r>
      <w:proofErr w:type="gramEnd"/>
      <w:r>
        <w:t xml:space="preserve"> ve 14/7/2016 tarihlerinde yapılmıştır.</w:t>
      </w:r>
    </w:p>
    <w:p w:rsidR="00F77A8A" w:rsidRDefault="00F77A8A">
      <w:pPr>
        <w:tabs>
          <w:tab w:val="left" w:pos="1240"/>
        </w:tabs>
        <w:spacing w:line="288" w:lineRule="exact"/>
        <w:ind w:firstLine="857"/>
        <w:jc w:val="both"/>
      </w:pPr>
    </w:p>
    <w:p w:rsidR="00F77A8A" w:rsidRDefault="00F77A8A">
      <w:pPr>
        <w:tabs>
          <w:tab w:val="left" w:pos="1240"/>
        </w:tabs>
        <w:spacing w:line="288" w:lineRule="exact"/>
        <w:ind w:firstLine="857"/>
        <w:jc w:val="both"/>
      </w:pPr>
      <w:r>
        <w:t>3.</w:t>
      </w:r>
      <w:r>
        <w:tab/>
        <w:t>Başvurular, başvuru formu ve eklerinin idari yönden yapılan ön incelemesinden sonra Komisyona sunulmuştur.</w:t>
      </w:r>
    </w:p>
    <w:p w:rsidR="00F77A8A" w:rsidRDefault="00F77A8A">
      <w:pPr>
        <w:tabs>
          <w:tab w:val="left" w:pos="1240"/>
        </w:tabs>
        <w:spacing w:line="288" w:lineRule="exact"/>
        <w:ind w:firstLine="857"/>
        <w:jc w:val="both"/>
      </w:pPr>
    </w:p>
    <w:p w:rsidR="00F77A8A" w:rsidRDefault="00F77A8A">
      <w:pPr>
        <w:tabs>
          <w:tab w:val="left" w:pos="1240"/>
        </w:tabs>
        <w:spacing w:line="288" w:lineRule="exact"/>
        <w:ind w:firstLine="857"/>
        <w:jc w:val="both"/>
      </w:pPr>
      <w:r>
        <w:t>4.</w:t>
      </w:r>
      <w:r>
        <w:tab/>
        <w:t xml:space="preserve">Komisyonca başvurunun kabul edilebilirlik incelemesinin Bölüm tarafından yapılmasına karar verilmiştir. </w:t>
      </w:r>
    </w:p>
    <w:p w:rsidR="00F77A8A" w:rsidRDefault="00F77A8A">
      <w:pPr>
        <w:tabs>
          <w:tab w:val="left" w:pos="1240"/>
        </w:tabs>
        <w:spacing w:line="288" w:lineRule="exact"/>
        <w:ind w:firstLine="857"/>
        <w:jc w:val="both"/>
      </w:pPr>
    </w:p>
    <w:p w:rsidR="00F77A8A" w:rsidRDefault="00F77A8A">
      <w:pPr>
        <w:tabs>
          <w:tab w:val="left" w:pos="1260"/>
          <w:tab w:val="left" w:pos="1280"/>
        </w:tabs>
        <w:spacing w:line="288" w:lineRule="exact"/>
        <w:ind w:firstLine="857"/>
        <w:jc w:val="both"/>
      </w:pPr>
      <w:r>
        <w:t>5.</w:t>
      </w:r>
      <w:r>
        <w:tab/>
        <w:t>2016/12646 numaralı başvuru dosyasının konu yönünden hukuki irtibat nedeniyle 2016/10400 numaralı başvuru dosyası ile birleştirilmesine, incelemenin 2016/10400 numaralı bireysel başvuru dosyası üzerinden yürütülmesine ve diğer dosyanın kapatılmasına karar verilmiştir.</w:t>
      </w:r>
    </w:p>
    <w:p w:rsidR="00F77A8A" w:rsidRDefault="00F77A8A">
      <w:pPr>
        <w:tabs>
          <w:tab w:val="left" w:pos="1240"/>
          <w:tab w:val="left" w:pos="1260"/>
          <w:tab w:val="left" w:pos="1280"/>
        </w:tabs>
        <w:spacing w:line="288" w:lineRule="exact"/>
        <w:ind w:firstLine="857"/>
        <w:jc w:val="both"/>
      </w:pPr>
    </w:p>
    <w:p w:rsidR="00F77A8A" w:rsidRDefault="00F77A8A">
      <w:pPr>
        <w:tabs>
          <w:tab w:val="left" w:pos="1240"/>
          <w:tab w:val="left" w:pos="1260"/>
          <w:tab w:val="left" w:pos="1280"/>
        </w:tabs>
        <w:spacing w:line="288" w:lineRule="exact"/>
        <w:ind w:firstLine="857"/>
        <w:jc w:val="both"/>
      </w:pPr>
      <w:r>
        <w:t>6.</w:t>
      </w:r>
      <w:r>
        <w:tab/>
        <w:t>Bölüm Başkanı tarafından başvurunun kabul edilebilirlik ve esas incelemesinin birlikte yapılmasına karar verilmiştir.</w:t>
      </w:r>
    </w:p>
    <w:p w:rsidR="00F77A8A" w:rsidRDefault="00F77A8A">
      <w:pPr>
        <w:tabs>
          <w:tab w:val="left" w:pos="1240"/>
          <w:tab w:val="left" w:pos="1260"/>
          <w:tab w:val="left" w:pos="1280"/>
        </w:tabs>
        <w:spacing w:line="288" w:lineRule="exact"/>
        <w:ind w:firstLine="857"/>
        <w:jc w:val="both"/>
      </w:pPr>
    </w:p>
    <w:p w:rsidR="00F77A8A" w:rsidRDefault="00F77A8A">
      <w:pPr>
        <w:tabs>
          <w:tab w:val="left" w:pos="1240"/>
          <w:tab w:val="left" w:pos="1260"/>
          <w:tab w:val="left" w:pos="1280"/>
        </w:tabs>
        <w:spacing w:line="288" w:lineRule="exact"/>
        <w:ind w:firstLine="857"/>
        <w:jc w:val="both"/>
      </w:pPr>
      <w:r>
        <w:t>7.</w:t>
      </w:r>
      <w:r>
        <w:tab/>
        <w:t>Başvuru belgelerinin bir örneği bilgi için Adalet Bakanlığına (Bakanlık) gönderilmiştir. Bakanlık görüşünü bildirmiştir.</w:t>
      </w:r>
    </w:p>
    <w:p w:rsidR="00F77A8A" w:rsidRDefault="00F77A8A">
      <w:pPr>
        <w:tabs>
          <w:tab w:val="left" w:pos="1240"/>
          <w:tab w:val="left" w:pos="1260"/>
          <w:tab w:val="left" w:pos="1280"/>
        </w:tabs>
        <w:spacing w:line="288" w:lineRule="exact"/>
        <w:ind w:firstLine="857"/>
        <w:jc w:val="both"/>
      </w:pPr>
    </w:p>
    <w:p w:rsidR="00F77A8A" w:rsidRDefault="00F77A8A">
      <w:pPr>
        <w:tabs>
          <w:tab w:val="left" w:pos="1240"/>
          <w:tab w:val="left" w:pos="1260"/>
          <w:tab w:val="left" w:pos="1280"/>
        </w:tabs>
        <w:spacing w:line="288" w:lineRule="exact"/>
        <w:ind w:firstLine="857"/>
        <w:jc w:val="both"/>
      </w:pPr>
      <w:r>
        <w:t>8.</w:t>
      </w:r>
      <w:r>
        <w:tab/>
        <w:t>Başvurucular, Bakanlık görüşüne karşı beyanda bulunmuşlardır.</w:t>
      </w:r>
    </w:p>
    <w:p w:rsidR="007574A0" w:rsidRDefault="007574A0">
      <w:pPr>
        <w:tabs>
          <w:tab w:val="left" w:pos="1280"/>
        </w:tabs>
        <w:spacing w:line="288" w:lineRule="exact"/>
        <w:ind w:firstLine="857"/>
        <w:jc w:val="both"/>
        <w:rPr>
          <w:b/>
        </w:rPr>
      </w:pPr>
    </w:p>
    <w:p w:rsidR="00F77A8A" w:rsidRDefault="00F77A8A">
      <w:pPr>
        <w:tabs>
          <w:tab w:val="left" w:pos="1280"/>
        </w:tabs>
        <w:spacing w:line="288" w:lineRule="exact"/>
        <w:ind w:firstLine="857"/>
        <w:jc w:val="both"/>
        <w:rPr>
          <w:b/>
        </w:rPr>
      </w:pPr>
      <w:r>
        <w:rPr>
          <w:b/>
        </w:rPr>
        <w:t>III.</w:t>
      </w:r>
      <w:r>
        <w:tab/>
      </w:r>
      <w:r>
        <w:rPr>
          <w:b/>
        </w:rPr>
        <w:t xml:space="preserve">OLAY VE OLGULAR </w:t>
      </w:r>
    </w:p>
    <w:p w:rsidR="00F77A8A" w:rsidRDefault="00F77A8A">
      <w:pPr>
        <w:tabs>
          <w:tab w:val="left" w:pos="1260"/>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lastRenderedPageBreak/>
        <w:t>9.</w:t>
      </w:r>
      <w:r>
        <w:tab/>
        <w:t>Başvuru formu ve eklerinde ifade edildiği şekliyle olaylar özetle şöyledir:</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10.</w:t>
      </w:r>
      <w:r>
        <w:tab/>
        <w:t xml:space="preserve">Başvurucular kamu görevlisi olup Kamu Emekçileri Sendikaları Konfederasyonuna bağlı Sağlık ve Sosyal Hizmet Emekçileri Sendikasının (SES/Sendika) üyesidir. Başvuruculardan </w:t>
      </w:r>
      <w:proofErr w:type="spellStart"/>
      <w:r>
        <w:t>Belkis</w:t>
      </w:r>
      <w:proofErr w:type="spellEnd"/>
      <w:r>
        <w:t xml:space="preserve"> Yurtsever SES Merkez Yönetim Kurulu üyesi, Yılmaz Yıldız ise SES Niğde Şube başkanıdır.</w:t>
      </w:r>
    </w:p>
    <w:p w:rsidR="00F77A8A" w:rsidRDefault="00F77A8A">
      <w:pPr>
        <w:tabs>
          <w:tab w:val="left" w:pos="1280"/>
        </w:tabs>
        <w:spacing w:line="288" w:lineRule="exact"/>
        <w:ind w:firstLine="857"/>
        <w:jc w:val="both"/>
      </w:pPr>
    </w:p>
    <w:p w:rsidR="00F77A8A" w:rsidRDefault="00F77A8A">
      <w:pPr>
        <w:pStyle w:val="edf1423552057026"/>
        <w:spacing w:line="288" w:lineRule="exact"/>
        <w:ind w:firstLine="851"/>
        <w:jc w:val="both"/>
      </w:pPr>
      <w:r>
        <w:t xml:space="preserve">11. Niğde Valiliği (Valilik) </w:t>
      </w:r>
      <w:proofErr w:type="gramStart"/>
      <w:r>
        <w:t>5/8/2004</w:t>
      </w:r>
      <w:proofErr w:type="gramEnd"/>
      <w:r>
        <w:t xml:space="preserve"> tarihli ve 25544 sayılı Resmî </w:t>
      </w:r>
      <w:proofErr w:type="spellStart"/>
      <w:r>
        <w:t>Gazete'de</w:t>
      </w:r>
      <w:proofErr w:type="spellEnd"/>
      <w:r>
        <w:t xml:space="preserve"> yayımlanan 2004/01 sayılı kararında kamu düzeninin ve güvenliğinin sağlanması amacıyla basın açıklaması yapılabilecek ve yapılamayacak alanları belirlemiştir. Bu kapsamda kamu kurum ve kuruluşları önünde ve bunlara ait müştemilatta (otopark, bahçe meydanları ve benzeri) basın açıklaması ve toplantı yapılması yasaklanmıştır.</w:t>
      </w:r>
    </w:p>
    <w:p w:rsidR="00F77A8A" w:rsidRDefault="00F77A8A">
      <w:pPr>
        <w:pStyle w:val="edf1423552057026"/>
        <w:spacing w:line="288" w:lineRule="exact"/>
        <w:ind w:firstLine="851"/>
        <w:jc w:val="both"/>
      </w:pPr>
    </w:p>
    <w:p w:rsidR="00F77A8A" w:rsidRDefault="00F77A8A">
      <w:pPr>
        <w:pStyle w:val="edf1423552057026"/>
        <w:tabs>
          <w:tab w:val="left" w:pos="1260"/>
        </w:tabs>
        <w:spacing w:line="288" w:lineRule="exact"/>
        <w:ind w:firstLine="851"/>
        <w:jc w:val="both"/>
      </w:pPr>
      <w:r>
        <w:t>12.</w:t>
      </w:r>
      <w:r>
        <w:tab/>
        <w:t xml:space="preserve">1 Mayıs Emek ve Dayanışma Günü etkinlikleri kapsamında Niğde'de gerçekleştirilen ve aralarında başvurucuların üyesi olduğu Sendikanın da bulunduğu kuruluşların düzenlediği yürüyüş ve basın açıklamasına polis tarafından biber gazı kullanılarak müdahale edilmiştir. Bu müdahale sonrasında gözaltına alınanlar olmuştur.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13.</w:t>
      </w:r>
      <w:r>
        <w:tab/>
        <w:t xml:space="preserve">Başvurucuların da aralarında olduğu dört kişilik bir grup </w:t>
      </w:r>
      <w:proofErr w:type="gramStart"/>
      <w:r>
        <w:t>4/5/2015</w:t>
      </w:r>
      <w:proofErr w:type="gramEnd"/>
      <w:r>
        <w:t xml:space="preserve"> tarihinde saat 13.30 sıralarında, üyesi oldukları Sendika tarafından 1 Mayıs'ta gerçekleştirilen etkinliğe emniyet görevlileri tarafından yapılan müdahalenin haksız olduğunu belirterek müdahalede bulunan polisler hakkında Sendika adına yapacakları suç duyurusunu kamuoyuna duyurmak ve müdahale sonrası yaşanan süreci kamuoyu ile paylaşmak amacıyla Niğde Adalet Binası girişi önünde basın açıklaması yapmak istemiştir.</w:t>
      </w:r>
    </w:p>
    <w:p w:rsidR="00F77A8A" w:rsidRDefault="00F77A8A">
      <w:pPr>
        <w:pStyle w:val="edf1423552057026"/>
        <w:tabs>
          <w:tab w:val="left" w:pos="1280"/>
        </w:tabs>
        <w:spacing w:line="288" w:lineRule="exact"/>
        <w:ind w:firstLine="851"/>
        <w:jc w:val="both"/>
      </w:pPr>
    </w:p>
    <w:p w:rsidR="00F77A8A" w:rsidRDefault="00F77A8A">
      <w:pPr>
        <w:pStyle w:val="edf1423552057026"/>
        <w:tabs>
          <w:tab w:val="left" w:pos="1260"/>
          <w:tab w:val="left" w:pos="1280"/>
        </w:tabs>
        <w:spacing w:line="288" w:lineRule="exact"/>
        <w:ind w:firstLine="836"/>
        <w:jc w:val="both"/>
      </w:pPr>
      <w:r>
        <w:t>14</w:t>
      </w:r>
      <w:r>
        <w:tab/>
        <w:t>Bir şube müdürünün sorumluluğundaki bir grup emniyet görevlisi, Sendika üyesi grup ile konuşmak için müzakereci olarak görevlendirilmiştir. Müzakereci şube müdürü, kamu kurum ve kuruluşları önünde açıklama yapabilmeleri için savcılıktan izin almaları gerektiğini Sendika üyelerine iletmiş ve durumu savcılığa bildirmek üzere ayrılmıştır. Başvurucular bu sırada basın açıklaması yapmış ve ardından suç duyurusunda bulunmak için Niğde Adliye Binasına girmişlerdir.</w:t>
      </w:r>
    </w:p>
    <w:p w:rsidR="00F77A8A" w:rsidRDefault="00F77A8A">
      <w:pPr>
        <w:pStyle w:val="edf1423552057026"/>
        <w:tabs>
          <w:tab w:val="left" w:pos="1280"/>
        </w:tabs>
        <w:spacing w:line="288" w:lineRule="exact"/>
        <w:ind w:firstLine="836"/>
        <w:jc w:val="both"/>
      </w:pPr>
    </w:p>
    <w:p w:rsidR="00F77A8A" w:rsidRDefault="00F77A8A">
      <w:pPr>
        <w:pStyle w:val="edf1423552057026"/>
        <w:tabs>
          <w:tab w:val="left" w:pos="1280"/>
        </w:tabs>
        <w:spacing w:line="288" w:lineRule="exact"/>
        <w:ind w:firstLine="851"/>
        <w:jc w:val="both"/>
      </w:pPr>
      <w:r>
        <w:t>15.</w:t>
      </w:r>
      <w:r>
        <w:tab/>
        <w:t xml:space="preserve">Başvuruculara, Niğde Adliye Binası önünde yapmış oldukları basın açıklamasının Valilik kararına aykırılık teşkil ettiği gerekçesiyle </w:t>
      </w:r>
      <w:proofErr w:type="gramStart"/>
      <w:r>
        <w:t>30/3/2005</w:t>
      </w:r>
      <w:proofErr w:type="gramEnd"/>
      <w:r>
        <w:t xml:space="preserve"> tarihli ve 5326 sayılı Kabahatler Kanunu'nun 32. maddesine göre ayrı ayrı 208'er TL idari para cezası verilmiştir. Başvurucular idari para cezalarına itiraz etmişlerdir.</w:t>
      </w:r>
    </w:p>
    <w:p w:rsidR="00F77A8A" w:rsidRDefault="00F77A8A">
      <w:pPr>
        <w:pStyle w:val="edf1423552057026"/>
        <w:tabs>
          <w:tab w:val="left" w:pos="1280"/>
        </w:tabs>
        <w:spacing w:line="288" w:lineRule="exact"/>
        <w:ind w:firstLine="851"/>
        <w:jc w:val="both"/>
      </w:pPr>
    </w:p>
    <w:p w:rsidR="00F77A8A" w:rsidRDefault="00F77A8A">
      <w:pPr>
        <w:pStyle w:val="edf1423552057056"/>
        <w:tabs>
          <w:tab w:val="left" w:pos="1240"/>
          <w:tab w:val="left" w:pos="1260"/>
          <w:tab w:val="left" w:pos="1280"/>
        </w:tabs>
        <w:spacing w:line="288" w:lineRule="exact"/>
        <w:ind w:firstLine="836"/>
        <w:jc w:val="both"/>
      </w:pPr>
      <w:r>
        <w:t>16.</w:t>
      </w:r>
      <w:r>
        <w:tab/>
      </w:r>
      <w:r>
        <w:tab/>
        <w:t>İtirazı inceleyen Niğde Sulh Ceza Hâkimliği (Hâkimlik) değişik tarihlerde itirazları kesin olarak reddetmiştir. Hâkimlik kararlarında; basın açıklaması yapmak için tahsis edilmemiş bir yerde basın açıklaması yapıldığı, kolluk kuvvetleri tarafından kamu güvenliği amacıyla verilen emirlere riayet edilmediğinin resmî belge mahiyetindeki tutanak ve olay yerinden elde edilen kamera görüntülerinden anlaşıldığı belirtilerek itirazların yerinde görülmediğine karar verilmiştir.</w:t>
      </w:r>
    </w:p>
    <w:p w:rsidR="00F77A8A" w:rsidRDefault="00F77A8A">
      <w:pPr>
        <w:pStyle w:val="edf1423552057056"/>
        <w:tabs>
          <w:tab w:val="left" w:pos="1280"/>
        </w:tabs>
        <w:spacing w:line="288" w:lineRule="exact"/>
        <w:ind w:firstLine="821"/>
        <w:jc w:val="both"/>
      </w:pPr>
    </w:p>
    <w:p w:rsidR="00F77A8A" w:rsidRDefault="00F77A8A">
      <w:pPr>
        <w:tabs>
          <w:tab w:val="left" w:pos="1280"/>
        </w:tabs>
        <w:spacing w:line="288" w:lineRule="exact"/>
        <w:ind w:firstLine="857"/>
        <w:jc w:val="both"/>
      </w:pPr>
      <w:r>
        <w:t>17.</w:t>
      </w:r>
      <w:r>
        <w:tab/>
        <w:t xml:space="preserve">Başvurucular </w:t>
      </w:r>
      <w:proofErr w:type="gramStart"/>
      <w:r>
        <w:t>5/5/2016</w:t>
      </w:r>
      <w:proofErr w:type="gramEnd"/>
      <w:r>
        <w:t xml:space="preserve"> ve 15/6/2016 tarihinde tebliğ edilen kararlara karşı sırasıyla 3/6/2016 ile 14/7/2016 tarihlerinde bireysel başvuruda bulunmuşlardır.</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IV.</w:t>
      </w:r>
      <w:r>
        <w:tab/>
      </w:r>
      <w:r>
        <w:rPr>
          <w:b/>
        </w:rPr>
        <w:t>İLGİLİ HUKUK</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18.</w:t>
      </w:r>
      <w:r w:rsidR="007574A0">
        <w:tab/>
      </w:r>
      <w:r>
        <w:t xml:space="preserve">İlgili hukuk için bkz. </w:t>
      </w:r>
      <w:r>
        <w:rPr>
          <w:i/>
          <w:iCs/>
        </w:rPr>
        <w:t xml:space="preserve">Eğitim ve Bilim Emekçileri Sendikası ve diğerleri </w:t>
      </w:r>
      <w:r>
        <w:t xml:space="preserve">(GK), B. No:2014/920, </w:t>
      </w:r>
      <w:proofErr w:type="gramStart"/>
      <w:r>
        <w:t>25/5/2017</w:t>
      </w:r>
      <w:proofErr w:type="gramEnd"/>
      <w:r>
        <w:t>, §§ 22-31;</w:t>
      </w:r>
      <w:r>
        <w:rPr>
          <w:i/>
          <w:iCs/>
        </w:rPr>
        <w:t xml:space="preserve"> Rıza Gökçen </w:t>
      </w:r>
      <w:proofErr w:type="spellStart"/>
      <w:r>
        <w:rPr>
          <w:i/>
          <w:iCs/>
        </w:rPr>
        <w:t>Erus</w:t>
      </w:r>
      <w:proofErr w:type="spellEnd"/>
      <w:r>
        <w:rPr>
          <w:i/>
          <w:iCs/>
        </w:rPr>
        <w:t xml:space="preserve"> ve diğerleri, </w:t>
      </w:r>
      <w:r>
        <w:t xml:space="preserve">B. No: 2014/17391, </w:t>
      </w:r>
      <w:r>
        <w:lastRenderedPageBreak/>
        <w:t>19/4/2018, §§ 24-30.</w:t>
      </w:r>
    </w:p>
    <w:p w:rsidR="00F77A8A" w:rsidRDefault="00F77A8A">
      <w:pPr>
        <w:tabs>
          <w:tab w:val="left" w:pos="1260"/>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V.</w:t>
      </w:r>
      <w:r>
        <w:tab/>
      </w:r>
      <w:r>
        <w:rPr>
          <w:b/>
        </w:rPr>
        <w:t>İNCELEME VE GEREKÇE</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19.</w:t>
      </w:r>
      <w:r>
        <w:tab/>
        <w:t xml:space="preserve">Mahkemenin </w:t>
      </w:r>
      <w:proofErr w:type="gramStart"/>
      <w:r>
        <w:t>25/9/2019</w:t>
      </w:r>
      <w:proofErr w:type="gramEnd"/>
      <w:r>
        <w:t xml:space="preserve"> tarihinde yapmış olduğu toplantıda başvuru incelenip gereği düşünüldü:</w:t>
      </w:r>
    </w:p>
    <w:p w:rsidR="00F77A8A" w:rsidRDefault="00F77A8A">
      <w:pPr>
        <w:tabs>
          <w:tab w:val="left" w:pos="1260"/>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A.</w:t>
      </w:r>
      <w:r>
        <w:tab/>
      </w:r>
      <w:r>
        <w:rPr>
          <w:b/>
        </w:rPr>
        <w:t>Başvurucuların İddiaları ve Bakanlık Görüşü</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20.</w:t>
      </w:r>
      <w:r>
        <w:tab/>
        <w:t>Başvurucular; basın açıklamasına katılmaları nedeniyle idari para cezası ile cezalandırılmalarının ifade özgürlüğünün, sendika hakkının ve toplantı ve gösteri yürüyüşü düzenleme hakkının ihlali niteliğinde olduğunu ileri sürmüşlerdir. AİHM tarafından idari yaptırım kararı ile ilgili olarak verilen ve örgütlenme ve toplanma özgürlüğünün ihlali olarak değerlendirilen emsal kararların bulunduğunu belirten başvurucular kamu kurum ve kuruluşları önünde basın açıklaması yapılamamasının hakkın özüne dokunduğunu belirtmişlerdir.</w:t>
      </w:r>
    </w:p>
    <w:p w:rsidR="00F77A8A" w:rsidRDefault="00F77A8A">
      <w:pPr>
        <w:tabs>
          <w:tab w:val="left" w:pos="1260"/>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21.</w:t>
      </w:r>
      <w:r>
        <w:tab/>
        <w:t xml:space="preserve">Bakanlık görüşünde; somut olayda barışçıl toplanma özgürlüğüne yapıldığı iddia edilen müdahalede ulusal güvenliğin veya kamu güvenliğinin korunması, kamu düzeninin sağlanması, suç işlenmesinin önlenmesi ve üçüncü kişilerin haklarının korunması gibi meşru amaçlar güdüldüğü belirtilmiştir. Ayrıca Avrupa İnsan Hakları Mahkemesinin (AİHM), devletin asayişi sağlamak veya korumak için toplantı düzenlemeyi bildirim yahut yer sınırlaması gibi şekil şartlarına ve izin koşuluna bağlamasını 11. maddeye aykırı bulmadığı ifade edilmiştir. </w:t>
      </w:r>
    </w:p>
    <w:p w:rsidR="00F77A8A" w:rsidRDefault="00F77A8A">
      <w:pPr>
        <w:tabs>
          <w:tab w:val="left" w:pos="1260"/>
          <w:tab w:val="left" w:pos="1280"/>
        </w:tabs>
        <w:spacing w:line="288" w:lineRule="exact"/>
        <w:ind w:firstLine="857"/>
        <w:jc w:val="both"/>
      </w:pPr>
    </w:p>
    <w:p w:rsidR="00F77A8A" w:rsidRDefault="00F77A8A">
      <w:pPr>
        <w:tabs>
          <w:tab w:val="left" w:pos="1280"/>
        </w:tabs>
        <w:spacing w:line="288" w:lineRule="exact"/>
        <w:ind w:firstLine="857"/>
        <w:jc w:val="both"/>
      </w:pPr>
      <w:r>
        <w:t>22.</w:t>
      </w:r>
      <w:r>
        <w:tab/>
        <w:t>Bakanlık, idari para cezasının yalnızca Valilikçe yasaklanan yerde basın açıklaması yapmak suretiyle kamu düzeninin bozulma tehlikesinin ortaya çıkması nedeniyle uygulandığını belirterek söz konusu idari para cezasının başvurucuların barışçıl toplanma özgürlüğüne halel getirecek nitelikte olmadığını ifade etmiştir. Bakanlık, para cezalarının başvurucuların adli sicil kaydına işlenmediğini ve cezaların cüzi bir miktar olması nedeniyle başvurucuların mali durumları üzerinde aşırı bir yük oluşturmadığını belirtmiştir.</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23.</w:t>
      </w:r>
      <w:r>
        <w:tab/>
        <w:t>Başvurucular; Bakanlık görüşüne karşı beyanlarında başvuru formundaki iddialarını yinelemişler, benzer bir olaya ilişkin AİHM tarafından Türkiye aleyhine verilen bir karar bulunduğunu hatırlatmışlardır.</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B.</w:t>
      </w:r>
      <w:r>
        <w:tab/>
      </w:r>
      <w:r>
        <w:rPr>
          <w:b/>
        </w:rPr>
        <w:t>Değerlendirme</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24.</w:t>
      </w:r>
      <w:r>
        <w:tab/>
        <w:t>Anayasa Mahkemesi, olayların başvurucular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 sendikanın </w:t>
      </w:r>
      <w:proofErr w:type="spellStart"/>
      <w:r>
        <w:t>kollektif</w:t>
      </w:r>
      <w:proofErr w:type="spellEnd"/>
      <w:r>
        <w:t xml:space="preserve"> eylemler nedeniyle üyelerinin mesleki çıkarlarını koruma özgürlüğü ile doğrudan ilişkili değildir (sendika hakkının kapsamı için bkz. </w:t>
      </w:r>
      <w:r>
        <w:rPr>
          <w:i/>
          <w:iCs/>
        </w:rPr>
        <w:t>Tayfun Cengiz</w:t>
      </w:r>
      <w:r>
        <w:t xml:space="preserve">, B. No: 2013/8463, </w:t>
      </w:r>
      <w:proofErr w:type="gramStart"/>
      <w:r>
        <w:t>18/9/2014</w:t>
      </w:r>
      <w:proofErr w:type="gramEnd"/>
      <w:r>
        <w:t xml:space="preserve">, § 30-32; aynı yönde değerlendirmeler için bkz. </w:t>
      </w:r>
      <w:r>
        <w:rPr>
          <w:i/>
          <w:iCs/>
        </w:rPr>
        <w:t>Gülfidan Yıldırım</w:t>
      </w:r>
      <w:r>
        <w:t xml:space="preserve">, B. No: 2014/12290, 19/7/2017, § 22). Bu nedenle başvurucuların şikâyetinin toplantı ve gösteri düzenleme hakkı kapsamında incelenmesi gerektiği değerlendirilmiştir </w:t>
      </w:r>
    </w:p>
    <w:p w:rsidR="007574A0" w:rsidRDefault="007574A0">
      <w:pPr>
        <w:tabs>
          <w:tab w:val="left" w:pos="1280"/>
        </w:tabs>
        <w:spacing w:line="288" w:lineRule="exact"/>
        <w:ind w:firstLine="857"/>
        <w:jc w:val="both"/>
      </w:pPr>
    </w:p>
    <w:p w:rsidR="00F77A8A" w:rsidRDefault="00F77A8A">
      <w:pPr>
        <w:tabs>
          <w:tab w:val="left" w:pos="1280"/>
        </w:tabs>
        <w:spacing w:line="288" w:lineRule="exact"/>
        <w:ind w:firstLine="857"/>
        <w:jc w:val="both"/>
      </w:pPr>
      <w:r>
        <w:t>25.</w:t>
      </w:r>
      <w:r>
        <w:tab/>
        <w:t>Anayasa’nın</w:t>
      </w:r>
      <w:r>
        <w:rPr>
          <w:i/>
          <w:iCs/>
        </w:rPr>
        <w:t xml:space="preserve"> "Toplantı ve gösteri yürüyüşü düzenleme hakkı"</w:t>
      </w:r>
      <w:r>
        <w:t xml:space="preserve"> kenar başlıklı 34. maddesi şöyledir:</w:t>
      </w:r>
    </w:p>
    <w:p w:rsidR="00F77A8A" w:rsidRDefault="00F77A8A">
      <w:pPr>
        <w:tabs>
          <w:tab w:val="left" w:pos="1280"/>
        </w:tabs>
        <w:spacing w:line="288" w:lineRule="exact"/>
        <w:ind w:firstLine="857"/>
        <w:jc w:val="both"/>
      </w:pPr>
    </w:p>
    <w:p w:rsidR="00F77A8A" w:rsidRDefault="00F77A8A">
      <w:pPr>
        <w:pStyle w:val="edf1450279197847"/>
        <w:tabs>
          <w:tab w:val="left" w:pos="1220"/>
        </w:tabs>
        <w:spacing w:line="288" w:lineRule="exact"/>
        <w:ind w:left="871" w:firstLine="381"/>
        <w:jc w:val="both"/>
        <w:rPr>
          <w:i/>
          <w:iCs/>
          <w:sz w:val="22"/>
        </w:rPr>
      </w:pPr>
      <w:r>
        <w:rPr>
          <w:i/>
          <w:iCs/>
          <w:sz w:val="22"/>
        </w:rPr>
        <w:t>"Herkes, önceden izin almadan, silahsız ve saldırısız toplantı ve gösteri yürüyüşü düzenleme hakkına sahiptir.</w:t>
      </w:r>
    </w:p>
    <w:p w:rsidR="00F77A8A" w:rsidRDefault="00F77A8A">
      <w:pPr>
        <w:pStyle w:val="edf1450279197847"/>
        <w:tabs>
          <w:tab w:val="left" w:pos="1220"/>
        </w:tabs>
        <w:spacing w:line="288" w:lineRule="exact"/>
        <w:ind w:left="871" w:firstLine="381"/>
        <w:jc w:val="both"/>
      </w:pPr>
    </w:p>
    <w:p w:rsidR="00F77A8A" w:rsidRDefault="00F77A8A">
      <w:pPr>
        <w:pStyle w:val="edf1450279197847"/>
        <w:tabs>
          <w:tab w:val="left" w:pos="1220"/>
        </w:tabs>
        <w:spacing w:line="288" w:lineRule="exact"/>
        <w:ind w:left="871" w:firstLine="381"/>
        <w:jc w:val="both"/>
        <w:rPr>
          <w:i/>
          <w:iCs/>
          <w:sz w:val="22"/>
        </w:rPr>
      </w:pPr>
      <w:r>
        <w:rPr>
          <w:i/>
          <w:iCs/>
          <w:sz w:val="22"/>
        </w:rPr>
        <w:lastRenderedPageBreak/>
        <w:t>Toplantı ve gösteri yürüyüşü hakkı ancak, milli güvenlik, kamu düzeni, suç işlenmesinin önlenmesi, genel sağlığın ve genel ahlakın veya başkalarının hak ve özgürlüklerinin korunması amacıyla ve kanunla sınırlanabilir.</w:t>
      </w:r>
    </w:p>
    <w:p w:rsidR="00F77A8A" w:rsidRDefault="00F77A8A">
      <w:pPr>
        <w:pStyle w:val="edf1450279197847"/>
        <w:tabs>
          <w:tab w:val="left" w:pos="1220"/>
        </w:tabs>
        <w:spacing w:line="288" w:lineRule="exact"/>
        <w:ind w:left="871" w:firstLine="381"/>
        <w:jc w:val="both"/>
      </w:pPr>
    </w:p>
    <w:p w:rsidR="00F77A8A" w:rsidRDefault="00F77A8A">
      <w:pPr>
        <w:pStyle w:val="edf1450279197847"/>
        <w:tabs>
          <w:tab w:val="left" w:pos="1220"/>
        </w:tabs>
        <w:spacing w:line="288" w:lineRule="exact"/>
        <w:ind w:left="871" w:firstLine="381"/>
        <w:jc w:val="both"/>
        <w:rPr>
          <w:i/>
          <w:iCs/>
          <w:sz w:val="22"/>
        </w:rPr>
      </w:pPr>
      <w:r>
        <w:rPr>
          <w:i/>
          <w:iCs/>
          <w:sz w:val="22"/>
        </w:rPr>
        <w:t>Toplantı ve gösteri yürüyüşü düzenleme hakkının kullanılmasında uygulanacak şekil, şart ve usuller kanunda gösterilir."</w:t>
      </w:r>
    </w:p>
    <w:p w:rsidR="00F77A8A" w:rsidRDefault="00F77A8A">
      <w:pPr>
        <w:pStyle w:val="edf1450279197847"/>
        <w:tabs>
          <w:tab w:val="left" w:pos="1220"/>
        </w:tabs>
        <w:spacing w:line="288" w:lineRule="exact"/>
        <w:ind w:left="871" w:firstLine="381"/>
        <w:jc w:val="both"/>
      </w:pPr>
    </w:p>
    <w:p w:rsidR="00F77A8A" w:rsidRDefault="00F77A8A">
      <w:pPr>
        <w:pStyle w:val="edf1450279197847"/>
        <w:tabs>
          <w:tab w:val="left" w:pos="1260"/>
        </w:tabs>
        <w:spacing w:line="288" w:lineRule="exact"/>
        <w:ind w:firstLine="843"/>
        <w:jc w:val="both"/>
        <w:rPr>
          <w:b/>
        </w:rPr>
      </w:pPr>
      <w:r>
        <w:rPr>
          <w:b/>
        </w:rPr>
        <w:t>1.</w:t>
      </w:r>
      <w:r>
        <w:tab/>
      </w:r>
      <w:r>
        <w:rPr>
          <w:b/>
        </w:rPr>
        <w:t>Kabul Edilebilirlik Yönünden</w:t>
      </w:r>
    </w:p>
    <w:p w:rsidR="00F77A8A" w:rsidRDefault="00F77A8A">
      <w:pPr>
        <w:pStyle w:val="edf1450279197847"/>
        <w:tabs>
          <w:tab w:val="left" w:pos="1260"/>
        </w:tabs>
        <w:spacing w:line="288" w:lineRule="exact"/>
        <w:ind w:firstLine="843"/>
        <w:jc w:val="both"/>
      </w:pPr>
    </w:p>
    <w:p w:rsidR="00F77A8A" w:rsidRDefault="00F77A8A">
      <w:pPr>
        <w:tabs>
          <w:tab w:val="left" w:pos="1260"/>
        </w:tabs>
        <w:spacing w:line="288" w:lineRule="exact"/>
        <w:ind w:firstLine="857"/>
        <w:jc w:val="both"/>
      </w:pPr>
      <w:r>
        <w:t xml:space="preserve">26. Açıkça dayanaktan yoksun olmadığı ve kabul edilemezliğine karar verilmesini gerektirecek başka bir neden de bulunmadığı anlaşılan toplantı ve gösteri yürüyüşü düzenleme hakkının ihlal edildiğine ilişkin iddianın kabul edilebilir olduğuna karar verilmesi gerekir. </w:t>
      </w:r>
    </w:p>
    <w:p w:rsidR="00F77A8A" w:rsidRDefault="00F77A8A">
      <w:pPr>
        <w:tabs>
          <w:tab w:val="left" w:pos="1260"/>
        </w:tabs>
        <w:spacing w:line="288" w:lineRule="exact"/>
        <w:ind w:firstLine="857"/>
        <w:jc w:val="both"/>
      </w:pPr>
    </w:p>
    <w:p w:rsidR="00F77A8A" w:rsidRDefault="00F77A8A">
      <w:pPr>
        <w:tabs>
          <w:tab w:val="left" w:pos="1260"/>
        </w:tabs>
        <w:spacing w:line="288" w:lineRule="exact"/>
        <w:ind w:firstLine="857"/>
        <w:jc w:val="both"/>
        <w:rPr>
          <w:b/>
        </w:rPr>
      </w:pPr>
      <w:r>
        <w:rPr>
          <w:b/>
        </w:rPr>
        <w:t>2.</w:t>
      </w:r>
      <w:r>
        <w:tab/>
      </w:r>
      <w:r>
        <w:rPr>
          <w:b/>
        </w:rPr>
        <w:t>Esas Yönünden</w:t>
      </w:r>
    </w:p>
    <w:p w:rsidR="00F77A8A" w:rsidRDefault="00F77A8A">
      <w:pPr>
        <w:tabs>
          <w:tab w:val="left" w:pos="1240"/>
          <w:tab w:val="left" w:pos="1280"/>
        </w:tabs>
        <w:spacing w:line="288" w:lineRule="exact"/>
        <w:ind w:firstLine="857"/>
        <w:jc w:val="both"/>
      </w:pPr>
    </w:p>
    <w:p w:rsidR="00F77A8A" w:rsidRDefault="00F77A8A">
      <w:pPr>
        <w:tabs>
          <w:tab w:val="left" w:pos="1240"/>
          <w:tab w:val="left" w:pos="1280"/>
        </w:tabs>
        <w:spacing w:line="288" w:lineRule="exact"/>
        <w:ind w:firstLine="857"/>
        <w:jc w:val="both"/>
        <w:rPr>
          <w:b/>
        </w:rPr>
      </w:pPr>
      <w:proofErr w:type="gramStart"/>
      <w:r>
        <w:rPr>
          <w:b/>
        </w:rPr>
        <w:t>a</w:t>
      </w:r>
      <w:proofErr w:type="gramEnd"/>
      <w:r>
        <w:rPr>
          <w:b/>
        </w:rPr>
        <w:t>.</w:t>
      </w:r>
      <w:r>
        <w:tab/>
      </w:r>
      <w:r>
        <w:rPr>
          <w:b/>
        </w:rPr>
        <w:t>Müdahalenin Varlığı</w:t>
      </w:r>
    </w:p>
    <w:p w:rsidR="00F77A8A" w:rsidRDefault="00F77A8A">
      <w:pPr>
        <w:tabs>
          <w:tab w:val="left" w:pos="1160"/>
          <w:tab w:val="left" w:pos="1280"/>
        </w:tabs>
        <w:spacing w:line="288" w:lineRule="exact"/>
        <w:ind w:firstLine="857"/>
        <w:jc w:val="both"/>
      </w:pPr>
    </w:p>
    <w:p w:rsidR="00F77A8A" w:rsidRDefault="00F77A8A">
      <w:pPr>
        <w:tabs>
          <w:tab w:val="left" w:pos="1280"/>
        </w:tabs>
        <w:spacing w:line="288" w:lineRule="exact"/>
        <w:ind w:firstLine="857"/>
        <w:jc w:val="both"/>
      </w:pPr>
      <w:r>
        <w:t>27.</w:t>
      </w:r>
      <w:r>
        <w:tab/>
        <w:t xml:space="preserve">Toplantı ve gösteri yürüyüşü düzenleme hakkının sadece kullanılması sırasındaki değil kullanılmasından sonraki işlemlerin de hak üzerinde </w:t>
      </w:r>
      <w:r>
        <w:rPr>
          <w:i/>
          <w:iCs/>
        </w:rPr>
        <w:t>sınırlayıcı</w:t>
      </w:r>
      <w:r>
        <w:t xml:space="preserve"> etkisi bulunmaktadır</w:t>
      </w:r>
      <w:r>
        <w:rPr>
          <w:i/>
          <w:iCs/>
        </w:rPr>
        <w:t xml:space="preserve"> </w:t>
      </w:r>
      <w:r>
        <w:t>(</w:t>
      </w:r>
      <w:r>
        <w:rPr>
          <w:i/>
          <w:iCs/>
        </w:rPr>
        <w:t xml:space="preserve">Osman Erbil, </w:t>
      </w:r>
      <w:r>
        <w:t xml:space="preserve">B. No: 2013/2394, </w:t>
      </w:r>
      <w:proofErr w:type="gramStart"/>
      <w:r>
        <w:t>25/3/2015</w:t>
      </w:r>
      <w:proofErr w:type="gramEnd"/>
      <w:r>
        <w:t xml:space="preserve">, § 53; sendika hakkına ilişkin olarak bkz. </w:t>
      </w:r>
      <w:r>
        <w:rPr>
          <w:i/>
          <w:iCs/>
        </w:rPr>
        <w:t xml:space="preserve">Eğitim ve Bilim Emekçileri Sendikası ve diğerleri, </w:t>
      </w:r>
      <w:r>
        <w:t xml:space="preserve">§ 48). Bu sebeple başvurucuların yaptıkları basın açıklamasına kolluk kuvvetleri herhangi bir müdahalede bulunmamış olsa bile daha sonra idari para cezası ile cezalandırılmalarının toplantı ve gösteri yürüyüşü düzenleme hakkına yönelik bir müdahale olduğu kabul edilmelidir.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proofErr w:type="gramStart"/>
      <w:r>
        <w:rPr>
          <w:b/>
        </w:rPr>
        <w:t>b</w:t>
      </w:r>
      <w:proofErr w:type="gramEnd"/>
      <w:r>
        <w:rPr>
          <w:b/>
        </w:rPr>
        <w:t>.</w:t>
      </w:r>
      <w:r>
        <w:tab/>
      </w:r>
      <w:r>
        <w:rPr>
          <w:b/>
        </w:rPr>
        <w:t>Müdahalenin İhlal Oluşturup Oluşturmadığı</w:t>
      </w:r>
    </w:p>
    <w:p w:rsidR="00F77A8A" w:rsidRDefault="00F77A8A">
      <w:pPr>
        <w:tabs>
          <w:tab w:val="left" w:pos="1260"/>
          <w:tab w:val="left" w:pos="1280"/>
        </w:tabs>
        <w:spacing w:line="288" w:lineRule="exact"/>
        <w:ind w:firstLine="857"/>
        <w:jc w:val="both"/>
      </w:pPr>
    </w:p>
    <w:p w:rsidR="00F77A8A" w:rsidRDefault="00F77A8A">
      <w:pPr>
        <w:tabs>
          <w:tab w:val="left" w:pos="840"/>
        </w:tabs>
        <w:spacing w:line="288" w:lineRule="exact"/>
        <w:ind w:firstLine="857"/>
        <w:jc w:val="both"/>
      </w:pPr>
      <w:r>
        <w:t>28.</w:t>
      </w:r>
      <w:r>
        <w:tab/>
        <w:t>Yukarıda anılan müdahale, Anayasa’nın 13. maddesinde belirtilen koşullara uygun olmadığı müddetçe Anayasa’nın 34. maddesinin ihlalini teşkil edecektir. Anayasa’nın 13. maddesinin ilgili kısmı şöyledir:</w:t>
      </w:r>
    </w:p>
    <w:p w:rsidR="00F77A8A" w:rsidRDefault="00F77A8A">
      <w:pPr>
        <w:tabs>
          <w:tab w:val="left" w:pos="840"/>
        </w:tabs>
        <w:spacing w:line="288" w:lineRule="exact"/>
        <w:ind w:firstLine="857"/>
        <w:jc w:val="both"/>
      </w:pPr>
    </w:p>
    <w:p w:rsidR="00F77A8A" w:rsidRDefault="00F77A8A">
      <w:pPr>
        <w:pStyle w:val="edf1450279197849"/>
        <w:tabs>
          <w:tab w:val="left" w:pos="840"/>
          <w:tab w:val="left" w:pos="1280"/>
        </w:tabs>
        <w:spacing w:after="57" w:line="288" w:lineRule="exact"/>
        <w:ind w:left="857" w:firstLine="438"/>
        <w:jc w:val="both"/>
        <w:rPr>
          <w:i/>
          <w:iCs/>
          <w:sz w:val="22"/>
        </w:rPr>
      </w:pPr>
      <w:r>
        <w:rPr>
          <w:i/>
          <w:iCs/>
          <w:sz w:val="22"/>
        </w:rPr>
        <w:t xml:space="preserve">"Temel hak ve hürriyetler, ... </w:t>
      </w:r>
      <w:proofErr w:type="gramStart"/>
      <w:r>
        <w:rPr>
          <w:i/>
          <w:iCs/>
          <w:sz w:val="22"/>
        </w:rPr>
        <w:t>yalnızca</w:t>
      </w:r>
      <w:proofErr w:type="gramEnd"/>
      <w:r>
        <w:rPr>
          <w:i/>
          <w:iCs/>
          <w:sz w:val="22"/>
        </w:rPr>
        <w:t xml:space="preserve"> Anayasanın ilgili maddelerinde belirtilen sebeplere bağlı olarak ve ancak kanunla sınırlanabilir. Bu sınırlamalar, ... demokratik toplum </w:t>
      </w:r>
      <w:proofErr w:type="gramStart"/>
      <w:r>
        <w:rPr>
          <w:i/>
          <w:iCs/>
          <w:sz w:val="22"/>
        </w:rPr>
        <w:t>düzeninin ...</w:t>
      </w:r>
      <w:proofErr w:type="gramEnd"/>
      <w:r>
        <w:rPr>
          <w:i/>
          <w:iCs/>
          <w:sz w:val="22"/>
        </w:rPr>
        <w:t xml:space="preserve"> </w:t>
      </w:r>
      <w:proofErr w:type="gramStart"/>
      <w:r>
        <w:rPr>
          <w:i/>
          <w:iCs/>
          <w:sz w:val="22"/>
        </w:rPr>
        <w:t>gereklerine</w:t>
      </w:r>
      <w:proofErr w:type="gramEnd"/>
      <w:r>
        <w:rPr>
          <w:i/>
          <w:iCs/>
          <w:sz w:val="22"/>
        </w:rPr>
        <w:t xml:space="preserve"> ve ölçülülük ilkesine aykırı olamaz."</w:t>
      </w:r>
    </w:p>
    <w:p w:rsidR="00F77A8A" w:rsidRDefault="00F77A8A">
      <w:pPr>
        <w:pStyle w:val="edf1450279197849"/>
        <w:tabs>
          <w:tab w:val="left" w:pos="840"/>
          <w:tab w:val="left" w:pos="1280"/>
        </w:tabs>
        <w:spacing w:after="57" w:line="288" w:lineRule="exact"/>
        <w:ind w:left="857" w:firstLine="438"/>
        <w:jc w:val="both"/>
      </w:pPr>
    </w:p>
    <w:p w:rsidR="00F77A8A" w:rsidRDefault="00F77A8A">
      <w:pPr>
        <w:pStyle w:val="edf1450279197849"/>
        <w:tabs>
          <w:tab w:val="left" w:pos="1280"/>
        </w:tabs>
        <w:spacing w:after="57" w:line="288" w:lineRule="exact"/>
        <w:ind w:firstLine="857"/>
        <w:jc w:val="both"/>
      </w:pPr>
      <w:r>
        <w:t>29. Bu sebeple müdahalenin, Anayasa’nın 13. maddesinde öngörülen ve somut başvuruya uygun düşen kanunlar tarafından öngörülme, Anayasa’nın ilgili maddesinde belirtilen nedenlere dayanma ve demokratik toplum düzeninin gereklerine uygunluk koşullarını sağlayıp sağlamadığının belirlenmesi gerekir.</w:t>
      </w:r>
    </w:p>
    <w:p w:rsidR="00F77A8A" w:rsidRDefault="00F77A8A">
      <w:pPr>
        <w:tabs>
          <w:tab w:val="left" w:pos="840"/>
          <w:tab w:val="left" w:pos="1220"/>
        </w:tabs>
        <w:spacing w:line="288" w:lineRule="exact"/>
        <w:ind w:firstLine="857"/>
        <w:jc w:val="both"/>
      </w:pPr>
    </w:p>
    <w:p w:rsidR="00F77A8A" w:rsidRDefault="00F77A8A">
      <w:pPr>
        <w:tabs>
          <w:tab w:val="left" w:pos="840"/>
          <w:tab w:val="left" w:pos="1220"/>
        </w:tabs>
        <w:spacing w:line="288" w:lineRule="exact"/>
        <w:ind w:firstLine="857"/>
        <w:jc w:val="both"/>
        <w:rPr>
          <w:b/>
        </w:rPr>
      </w:pPr>
      <w:proofErr w:type="gramStart"/>
      <w:r>
        <w:rPr>
          <w:b/>
        </w:rPr>
        <w:t>i</w:t>
      </w:r>
      <w:proofErr w:type="gramEnd"/>
      <w:r>
        <w:rPr>
          <w:b/>
        </w:rPr>
        <w:t>.</w:t>
      </w:r>
      <w:r>
        <w:tab/>
      </w:r>
      <w:r>
        <w:rPr>
          <w:b/>
        </w:rPr>
        <w:t xml:space="preserve">Kanunilik </w:t>
      </w:r>
    </w:p>
    <w:p w:rsidR="00F77A8A" w:rsidRDefault="00F77A8A">
      <w:pPr>
        <w:tabs>
          <w:tab w:val="left" w:pos="840"/>
          <w:tab w:val="left" w:pos="1220"/>
        </w:tabs>
        <w:spacing w:line="288" w:lineRule="exact"/>
        <w:ind w:firstLine="857"/>
        <w:jc w:val="both"/>
      </w:pPr>
    </w:p>
    <w:p w:rsidR="00F77A8A" w:rsidRDefault="00F77A8A">
      <w:pPr>
        <w:pStyle w:val="edf1450279197849"/>
        <w:tabs>
          <w:tab w:val="left" w:pos="840"/>
          <w:tab w:val="left" w:pos="1220"/>
        </w:tabs>
        <w:spacing w:line="288" w:lineRule="exact"/>
        <w:ind w:firstLine="857"/>
        <w:jc w:val="both"/>
      </w:pPr>
      <w:r>
        <w:t>30.</w:t>
      </w:r>
      <w:r>
        <w:tab/>
        <w:t xml:space="preserve">5326 sayılı Kanun'un 32. maddesinin </w:t>
      </w:r>
      <w:r>
        <w:rPr>
          <w:i/>
          <w:iCs/>
        </w:rPr>
        <w:t>kanunla sınırlama</w:t>
      </w:r>
      <w:r>
        <w:t xml:space="preserve"> ölçütünü karşıladığı sonucuna varılmıştır (5326 sayılı Kanun'un 32. maddesine ilişkin kanunilik değerlendirmesi için bkz. </w:t>
      </w:r>
      <w:r>
        <w:rPr>
          <w:i/>
          <w:iCs/>
        </w:rPr>
        <w:t>Eğitim ve Bilim Emekçileri Sendikası ve diğerleri,</w:t>
      </w:r>
      <w:r>
        <w:t xml:space="preserve"> §§ 52-69).</w:t>
      </w:r>
    </w:p>
    <w:p w:rsidR="00F77A8A" w:rsidRDefault="00F77A8A">
      <w:pPr>
        <w:pStyle w:val="edf1450279197849"/>
        <w:tabs>
          <w:tab w:val="left" w:pos="840"/>
          <w:tab w:val="left" w:pos="1220"/>
        </w:tabs>
        <w:spacing w:line="288" w:lineRule="exact"/>
        <w:ind w:firstLine="857"/>
        <w:jc w:val="both"/>
      </w:pPr>
    </w:p>
    <w:p w:rsidR="00F77A8A" w:rsidRDefault="00F77A8A">
      <w:pPr>
        <w:pStyle w:val="edf1450279197849"/>
        <w:tabs>
          <w:tab w:val="left" w:pos="840"/>
          <w:tab w:val="left" w:pos="1220"/>
        </w:tabs>
        <w:spacing w:line="288" w:lineRule="exact"/>
        <w:ind w:firstLine="857"/>
        <w:jc w:val="both"/>
        <w:rPr>
          <w:b/>
        </w:rPr>
      </w:pPr>
      <w:r>
        <w:rPr>
          <w:b/>
        </w:rPr>
        <w:t>ii.</w:t>
      </w:r>
      <w:r>
        <w:tab/>
      </w:r>
      <w:r>
        <w:rPr>
          <w:b/>
        </w:rPr>
        <w:t>Meşru Amaç</w:t>
      </w:r>
    </w:p>
    <w:p w:rsidR="00F77A8A" w:rsidRDefault="00F77A8A">
      <w:pPr>
        <w:pStyle w:val="edf1450279197849"/>
        <w:tabs>
          <w:tab w:val="left" w:pos="840"/>
          <w:tab w:val="left" w:pos="1220"/>
        </w:tabs>
        <w:spacing w:line="288" w:lineRule="exact"/>
        <w:ind w:firstLine="857"/>
        <w:jc w:val="both"/>
      </w:pPr>
    </w:p>
    <w:p w:rsidR="00F77A8A" w:rsidRDefault="00F77A8A">
      <w:pPr>
        <w:tabs>
          <w:tab w:val="left" w:pos="840"/>
          <w:tab w:val="left" w:pos="1220"/>
        </w:tabs>
        <w:spacing w:line="288" w:lineRule="exact"/>
        <w:ind w:firstLine="843"/>
        <w:jc w:val="both"/>
      </w:pPr>
      <w:r>
        <w:t>31.</w:t>
      </w:r>
      <w:r>
        <w:tab/>
        <w:t xml:space="preserve">Başvurucuların idari para cezasıyla cezalandırılmasına ilişkin kararın Anayasa'nın 34. maddesinin ikinci fıkrasında yer alan sebeplerden </w:t>
      </w:r>
      <w:r>
        <w:rPr>
          <w:i/>
          <w:iCs/>
        </w:rPr>
        <w:t>kamu düzeninin korunması</w:t>
      </w:r>
      <w:r>
        <w:t>na yönelik önlemlerin bir parçası olduğu ve meşru bir amaç taşıdığı sonucuna varılmıştır.</w:t>
      </w:r>
    </w:p>
    <w:p w:rsidR="00F77A8A" w:rsidRDefault="00F77A8A">
      <w:pPr>
        <w:tabs>
          <w:tab w:val="left" w:pos="1260"/>
          <w:tab w:val="left" w:pos="1420"/>
          <w:tab w:val="left" w:pos="1660"/>
        </w:tabs>
        <w:spacing w:line="288" w:lineRule="exact"/>
        <w:ind w:firstLine="843"/>
        <w:jc w:val="both"/>
      </w:pPr>
    </w:p>
    <w:p w:rsidR="00F77A8A" w:rsidRDefault="00F77A8A">
      <w:pPr>
        <w:pStyle w:val="edf1450279197849"/>
        <w:tabs>
          <w:tab w:val="left" w:pos="1300"/>
          <w:tab w:val="left" w:pos="1420"/>
          <w:tab w:val="left" w:pos="1660"/>
        </w:tabs>
        <w:spacing w:line="288" w:lineRule="exact"/>
        <w:ind w:firstLine="857"/>
        <w:jc w:val="both"/>
        <w:rPr>
          <w:b/>
        </w:rPr>
      </w:pPr>
      <w:r>
        <w:rPr>
          <w:b/>
        </w:rPr>
        <w:t>iii.</w:t>
      </w:r>
      <w:r>
        <w:tab/>
      </w:r>
      <w:r>
        <w:rPr>
          <w:b/>
        </w:rPr>
        <w:t xml:space="preserve">Demokratik Toplum Düzeninin Gereklerine Uygunluk </w:t>
      </w:r>
    </w:p>
    <w:p w:rsidR="00F77A8A" w:rsidRDefault="00F77A8A">
      <w:pPr>
        <w:pStyle w:val="edf1450279197849"/>
        <w:tabs>
          <w:tab w:val="left" w:pos="1300"/>
          <w:tab w:val="left" w:pos="1420"/>
          <w:tab w:val="left" w:pos="1660"/>
        </w:tabs>
        <w:spacing w:line="288" w:lineRule="exact"/>
        <w:ind w:firstLine="857"/>
        <w:jc w:val="both"/>
      </w:pPr>
    </w:p>
    <w:p w:rsidR="00F77A8A" w:rsidRDefault="00F77A8A">
      <w:pPr>
        <w:tabs>
          <w:tab w:val="left" w:pos="1300"/>
          <w:tab w:val="left" w:pos="1420"/>
          <w:tab w:val="left" w:pos="1660"/>
        </w:tabs>
        <w:spacing w:line="288" w:lineRule="exact"/>
        <w:ind w:firstLine="857"/>
        <w:jc w:val="both"/>
        <w:rPr>
          <w:b/>
        </w:rPr>
      </w:pPr>
      <w:r>
        <w:rPr>
          <w:b/>
        </w:rPr>
        <w:t>(1)</w:t>
      </w:r>
      <w:r>
        <w:tab/>
      </w:r>
      <w:r>
        <w:rPr>
          <w:b/>
        </w:rPr>
        <w:t>Genel İlkeler</w:t>
      </w:r>
    </w:p>
    <w:p w:rsidR="00F77A8A" w:rsidRDefault="00F77A8A">
      <w:pPr>
        <w:tabs>
          <w:tab w:val="left" w:pos="1300"/>
          <w:tab w:val="left" w:pos="1420"/>
          <w:tab w:val="left" w:pos="1660"/>
        </w:tabs>
        <w:spacing w:line="288" w:lineRule="exact"/>
        <w:ind w:firstLine="857"/>
        <w:jc w:val="both"/>
      </w:pPr>
    </w:p>
    <w:p w:rsidR="00F77A8A" w:rsidRDefault="00F77A8A">
      <w:pPr>
        <w:tabs>
          <w:tab w:val="left" w:pos="1300"/>
          <w:tab w:val="left" w:pos="1420"/>
        </w:tabs>
        <w:spacing w:line="288" w:lineRule="exact"/>
        <w:ind w:firstLine="857"/>
        <w:jc w:val="both"/>
        <w:rPr>
          <w:b/>
        </w:rPr>
      </w:pPr>
      <w:r>
        <w:rPr>
          <w:b/>
        </w:rPr>
        <w:t>(a)</w:t>
      </w:r>
      <w:r>
        <w:tab/>
      </w:r>
      <w:r>
        <w:rPr>
          <w:b/>
        </w:rPr>
        <w:t>Demokratik Toplumda Toplantı ve Gösteri Yürüyüşü Düzenleme Hakkının Önemi</w:t>
      </w:r>
    </w:p>
    <w:p w:rsidR="00F77A8A" w:rsidRDefault="00F77A8A">
      <w:pPr>
        <w:tabs>
          <w:tab w:val="left" w:pos="1280"/>
          <w:tab w:val="left" w:pos="1300"/>
          <w:tab w:val="left" w:pos="1420"/>
        </w:tabs>
        <w:spacing w:line="288" w:lineRule="exact"/>
        <w:ind w:firstLine="857"/>
        <w:jc w:val="both"/>
      </w:pPr>
    </w:p>
    <w:p w:rsidR="00F77A8A" w:rsidRDefault="00F77A8A">
      <w:pPr>
        <w:tabs>
          <w:tab w:val="left" w:pos="1280"/>
        </w:tabs>
        <w:spacing w:line="288" w:lineRule="exact"/>
        <w:ind w:firstLine="857"/>
        <w:jc w:val="both"/>
      </w:pPr>
      <w:r>
        <w:t>32.</w:t>
      </w:r>
      <w:r>
        <w:tab/>
        <w:t xml:space="preserve">Anayasa Mahkemesi </w:t>
      </w:r>
      <w:r>
        <w:rPr>
          <w:i/>
          <w:iCs/>
        </w:rPr>
        <w:t>demokratik toplum düzeninin gerekleri</w:t>
      </w:r>
      <w:r>
        <w:t xml:space="preserve"> ifadesinden ne anlaşılması gerektiğini daha önce pek çok kez açıklamıştır. Kolektif bir şekilde kullanılan ve düşüncelerini ifade etmek isteyen kişilere şiddeti dışlayan yöntemlerle düşüncelerini açıklama imkânı veren toplantı ve gösteri yürüyüşü düzenleme hakkı; çoğulcu demokrasilerin gelişmesinde zorunlu olan farklı düşüncelerin ortaya çıkması, korunması ve yayılmasını güvence altına almaktadır (</w:t>
      </w:r>
      <w:r>
        <w:rPr>
          <w:i/>
          <w:iCs/>
        </w:rPr>
        <w:t>Ferhat Üstündağ</w:t>
      </w:r>
      <w:r>
        <w:t xml:space="preserve">, B. No: 2014/15428, </w:t>
      </w:r>
      <w:proofErr w:type="gramStart"/>
      <w:r>
        <w:t>17/7/2018</w:t>
      </w:r>
      <w:proofErr w:type="gramEnd"/>
      <w:r>
        <w:t xml:space="preserve">, § 40; </w:t>
      </w:r>
      <w:r>
        <w:rPr>
          <w:i/>
          <w:iCs/>
        </w:rPr>
        <w:t xml:space="preserve">Dilan </w:t>
      </w:r>
      <w:proofErr w:type="spellStart"/>
      <w:r>
        <w:rPr>
          <w:i/>
          <w:iCs/>
        </w:rPr>
        <w:t>Ögüz</w:t>
      </w:r>
      <w:proofErr w:type="spellEnd"/>
      <w:r>
        <w:rPr>
          <w:i/>
          <w:iCs/>
        </w:rPr>
        <w:t xml:space="preserve"> Canan</w:t>
      </w:r>
      <w:r>
        <w:t xml:space="preserve"> [GK], B. No: 2014/20411, 30/11/2017, § 36; </w:t>
      </w:r>
      <w:r>
        <w:rPr>
          <w:i/>
          <w:iCs/>
        </w:rPr>
        <w:t xml:space="preserve">Ali Rıza Özer ve diğerleri </w:t>
      </w:r>
      <w:r>
        <w:t xml:space="preserve">[GK], B. No: 2013/3924, 6/1/2015, § 115; </w:t>
      </w:r>
      <w:r>
        <w:rPr>
          <w:i/>
          <w:iCs/>
        </w:rPr>
        <w:t xml:space="preserve">Eğitim ve Bilim Emekçileri Sendikası ve diğerleri, </w:t>
      </w:r>
      <w:r>
        <w:t xml:space="preserve">§ 79; </w:t>
      </w:r>
      <w:r>
        <w:rPr>
          <w:i/>
          <w:iCs/>
        </w:rPr>
        <w:t>Osman Erbil</w:t>
      </w:r>
      <w:r>
        <w:t>, § 45).</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33.</w:t>
      </w:r>
      <w:r>
        <w:tab/>
        <w:t>Bu hak, ifade özgürlüğünün özel bir biçimi olup toplantı ve gösteri yürüyüşü düzenleme hakkı aynı zamanda ifade özgürlüğünün ışığında değerlendirilmelidir. İfade özgürlüğünün demokratik ve çoğulcu bir toplumdaki önemi, toplantı ve gösteri yürüyüşü düzenleme hakkı için de geçerlidir (</w:t>
      </w:r>
      <w:r>
        <w:rPr>
          <w:i/>
          <w:iCs/>
        </w:rPr>
        <w:t xml:space="preserve">Dilan </w:t>
      </w:r>
      <w:proofErr w:type="spellStart"/>
      <w:r>
        <w:rPr>
          <w:i/>
          <w:iCs/>
        </w:rPr>
        <w:t>Ögüz</w:t>
      </w:r>
      <w:proofErr w:type="spellEnd"/>
      <w:r>
        <w:rPr>
          <w:i/>
          <w:iCs/>
        </w:rPr>
        <w:t xml:space="preserve"> Canan, </w:t>
      </w:r>
      <w:r>
        <w:t xml:space="preserve">§ 34; </w:t>
      </w:r>
      <w:r>
        <w:rPr>
          <w:i/>
          <w:iCs/>
        </w:rPr>
        <w:t>Ali Rıza Özer ve diğerleri,</w:t>
      </w:r>
      <w:r>
        <w:t xml:space="preserve"> § 115; </w:t>
      </w:r>
      <w:r>
        <w:rPr>
          <w:i/>
          <w:iCs/>
        </w:rPr>
        <w:t>Osman Erbil</w:t>
      </w:r>
      <w:r>
        <w:t xml:space="preserve">, §§ 31, 45; </w:t>
      </w:r>
      <w:r>
        <w:rPr>
          <w:i/>
          <w:iCs/>
        </w:rPr>
        <w:t>Eğitim ve Bilim Emekçileri Sendikası ve diğerleri</w:t>
      </w:r>
      <w:r>
        <w:t xml:space="preserve">, § 72; </w:t>
      </w:r>
      <w:r>
        <w:rPr>
          <w:i/>
          <w:iCs/>
        </w:rPr>
        <w:t>Gülşah Öztürk ve diğerleri</w:t>
      </w:r>
      <w:r>
        <w:t xml:space="preserve">, B. No: 2013/3936, </w:t>
      </w:r>
      <w:proofErr w:type="gramStart"/>
      <w:r>
        <w:t>17/2/2016</w:t>
      </w:r>
      <w:proofErr w:type="gramEnd"/>
      <w:r>
        <w:t xml:space="preserve">, § 66; </w:t>
      </w:r>
      <w:r>
        <w:rPr>
          <w:i/>
          <w:iCs/>
        </w:rPr>
        <w:t xml:space="preserve">Ömer Faruk Akyüz, </w:t>
      </w:r>
      <w:r>
        <w:t>B. No: 2015/9247, 4/4/2018, § 52). Sonuç olarak toplumsal ve siyasal çoğulculuğu sağlamak, her türlü düşüncenin barışçıl bir şekilde ve serbestçe ifadesine bağlıdır (</w:t>
      </w:r>
      <w:r>
        <w:rPr>
          <w:i/>
          <w:iCs/>
        </w:rPr>
        <w:t xml:space="preserve">Dilan </w:t>
      </w:r>
      <w:proofErr w:type="spellStart"/>
      <w:r>
        <w:rPr>
          <w:i/>
          <w:iCs/>
        </w:rPr>
        <w:t>Ögüz</w:t>
      </w:r>
      <w:proofErr w:type="spellEnd"/>
      <w:r>
        <w:rPr>
          <w:i/>
          <w:iCs/>
        </w:rPr>
        <w:t xml:space="preserve"> Canan, </w:t>
      </w:r>
      <w:r>
        <w:t xml:space="preserve">§ 35; </w:t>
      </w:r>
      <w:r>
        <w:rPr>
          <w:i/>
          <w:iCs/>
        </w:rPr>
        <w:t xml:space="preserve">Ömer Faruk Akyüz, </w:t>
      </w:r>
      <w:r>
        <w:t>§ 55).</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(b)</w:t>
      </w:r>
      <w:r w:rsidR="007574A0">
        <w:rPr>
          <w:b/>
        </w:rPr>
        <w:t xml:space="preserve"> </w:t>
      </w:r>
      <w:r>
        <w:rPr>
          <w:b/>
        </w:rPr>
        <w:t>Müdahalenin Demokratik Toplum Düzeninin Gereklerine Uygun Olması</w:t>
      </w:r>
    </w:p>
    <w:p w:rsidR="00F77A8A" w:rsidRDefault="00F77A8A">
      <w:pPr>
        <w:tabs>
          <w:tab w:val="left" w:pos="1240"/>
          <w:tab w:val="left" w:pos="1280"/>
        </w:tabs>
        <w:spacing w:line="288" w:lineRule="exact"/>
        <w:ind w:firstLine="857"/>
        <w:jc w:val="both"/>
      </w:pPr>
    </w:p>
    <w:p w:rsidR="00F77A8A" w:rsidRDefault="00F77A8A">
      <w:pPr>
        <w:tabs>
          <w:tab w:val="left" w:pos="1280"/>
        </w:tabs>
        <w:spacing w:line="288" w:lineRule="exact"/>
        <w:ind w:firstLine="857"/>
        <w:jc w:val="both"/>
      </w:pPr>
      <w:r>
        <w:t>34.</w:t>
      </w:r>
      <w:r>
        <w:tab/>
        <w:t xml:space="preserve">Buna göre toplantı ve gösteri yürüyüşü düzenleme hakkına yapılan bir müdahale zorunlu bir toplumsal ihtiyacı karşılamıyorsa(bazı farklılıklarla birlikte toplantı hakkı bağlamında bkz. </w:t>
      </w:r>
      <w:r>
        <w:rPr>
          <w:i/>
          <w:iCs/>
        </w:rPr>
        <w:t xml:space="preserve">Dilan </w:t>
      </w:r>
      <w:proofErr w:type="spellStart"/>
      <w:r>
        <w:rPr>
          <w:i/>
          <w:iCs/>
        </w:rPr>
        <w:t>Ögüz</w:t>
      </w:r>
      <w:proofErr w:type="spellEnd"/>
      <w:r>
        <w:rPr>
          <w:i/>
          <w:iCs/>
        </w:rPr>
        <w:t xml:space="preserve"> Canan</w:t>
      </w:r>
      <w:r>
        <w:t xml:space="preserve"> § 32;</w:t>
      </w:r>
      <w:r>
        <w:rPr>
          <w:i/>
          <w:iCs/>
        </w:rPr>
        <w:t xml:space="preserve"> </w:t>
      </w:r>
      <w:r>
        <w:t xml:space="preserve">sendika hakkı bağlamında bkz. </w:t>
      </w:r>
      <w:r>
        <w:rPr>
          <w:i/>
          <w:iCs/>
        </w:rPr>
        <w:t>Eğitim ve Bilim Emekçileri Sendikası ve diğerleri</w:t>
      </w:r>
      <w:r>
        <w:t xml:space="preserve">, § 73; </w:t>
      </w:r>
      <w:r>
        <w:rPr>
          <w:i/>
          <w:iCs/>
        </w:rPr>
        <w:t>Tayfun Cengiz</w:t>
      </w:r>
      <w:r>
        <w:t xml:space="preserve">, B. No: 2013/8463, </w:t>
      </w:r>
      <w:proofErr w:type="gramStart"/>
      <w:r>
        <w:t>18/9/2014</w:t>
      </w:r>
      <w:proofErr w:type="gramEnd"/>
      <w:r>
        <w:t xml:space="preserve">, § 56; </w:t>
      </w:r>
      <w:r>
        <w:rPr>
          <w:i/>
          <w:iCs/>
        </w:rPr>
        <w:t xml:space="preserve">Adalet Mehtap </w:t>
      </w:r>
      <w:proofErr w:type="spellStart"/>
      <w:r>
        <w:rPr>
          <w:i/>
          <w:iCs/>
        </w:rPr>
        <w:t>Buluryer</w:t>
      </w:r>
      <w:proofErr w:type="spellEnd"/>
      <w:r>
        <w:t xml:space="preserve">, B. No: 2013/5447, 16/10/2014, §§ 103-105; grev hakkı bağlamında bkz. </w:t>
      </w:r>
      <w:r>
        <w:rPr>
          <w:i/>
          <w:iCs/>
        </w:rPr>
        <w:t>Kristal-İş Sendikası</w:t>
      </w:r>
      <w:r>
        <w:t xml:space="preserve"> [GK], B. No: 2014/12166, 2/7/2015, § 70) ya da zorunlu bir toplumsal ihtiyacı karşılamakla birlikte orantılı değilse (bazı farklılıklarla birlikte toplantı hakkı bağlamında </w:t>
      </w:r>
      <w:r>
        <w:rPr>
          <w:i/>
          <w:iCs/>
        </w:rPr>
        <w:t xml:space="preserve">Dilan </w:t>
      </w:r>
      <w:proofErr w:type="spellStart"/>
      <w:r>
        <w:rPr>
          <w:i/>
          <w:iCs/>
        </w:rPr>
        <w:t>Ögüz</w:t>
      </w:r>
      <w:proofErr w:type="spellEnd"/>
      <w:r>
        <w:rPr>
          <w:i/>
          <w:iCs/>
        </w:rPr>
        <w:t xml:space="preserve"> Canan</w:t>
      </w:r>
      <w:r>
        <w:t xml:space="preserve"> §§ 33, 56; sendika hakkı bağlamında bkz. </w:t>
      </w:r>
      <w:r>
        <w:rPr>
          <w:i/>
          <w:iCs/>
        </w:rPr>
        <w:t>Eğitim ve Bilim Emekçileri Sendikası ve diğerleri</w:t>
      </w:r>
      <w:r>
        <w:t>, § 74)</w:t>
      </w:r>
      <w:r>
        <w:rPr>
          <w:i/>
          <w:iCs/>
        </w:rPr>
        <w:t xml:space="preserve"> </w:t>
      </w:r>
      <w:r>
        <w:t>demokratik toplum düzeninin gereklerine uygun bir müdahale olarak değerlendirilemez.</w:t>
      </w:r>
    </w:p>
    <w:p w:rsidR="007574A0" w:rsidRDefault="007574A0">
      <w:pPr>
        <w:tabs>
          <w:tab w:val="left" w:pos="840"/>
          <w:tab w:val="left" w:pos="1260"/>
        </w:tabs>
        <w:spacing w:line="288" w:lineRule="exact"/>
        <w:ind w:firstLine="857"/>
        <w:jc w:val="both"/>
        <w:rPr>
          <w:b/>
        </w:rPr>
      </w:pPr>
    </w:p>
    <w:p w:rsidR="00F77A8A" w:rsidRDefault="00F77A8A">
      <w:pPr>
        <w:tabs>
          <w:tab w:val="left" w:pos="840"/>
          <w:tab w:val="left" w:pos="1260"/>
        </w:tabs>
        <w:spacing w:line="288" w:lineRule="exact"/>
        <w:ind w:firstLine="857"/>
        <w:jc w:val="both"/>
        <w:rPr>
          <w:b/>
        </w:rPr>
      </w:pPr>
      <w:r>
        <w:rPr>
          <w:b/>
        </w:rPr>
        <w:t>(c)</w:t>
      </w:r>
      <w:r>
        <w:tab/>
      </w:r>
      <w:r>
        <w:tab/>
      </w:r>
      <w:r>
        <w:rPr>
          <w:b/>
        </w:rPr>
        <w:t>Barışçıl Toplanma Hakkı</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35.</w:t>
      </w:r>
      <w:r>
        <w:tab/>
        <w:t xml:space="preserve">Anayasa’nın 34. maddesi; fikirlerin </w:t>
      </w:r>
      <w:r>
        <w:rPr>
          <w:i/>
          <w:iCs/>
        </w:rPr>
        <w:t>silahsız ve saldırısız</w:t>
      </w:r>
      <w:r>
        <w:t>, başka bir ifade ile barışçıl bir şekilde ortaya konabilmesi için toplantı ve gösteri yürüyüşü düzenleme hakkını güvence altına almıştır. Dolayısıyla toplantı hakkının amacı, şiddete başvurmayan ve fikirlerini barışçıl bir şekilde ortaya koyan bireylerin haklarının korunmasıdır. Şiddet kullanma niyetinde olan kişilerin katıldığı veya düzenlediği gösteriler barışçıl toplanma kavramı dışındadır (</w:t>
      </w:r>
      <w:r>
        <w:rPr>
          <w:i/>
          <w:iCs/>
        </w:rPr>
        <w:t xml:space="preserve">Dilan </w:t>
      </w:r>
      <w:proofErr w:type="spellStart"/>
      <w:r>
        <w:rPr>
          <w:i/>
          <w:iCs/>
        </w:rPr>
        <w:t>Ögüz</w:t>
      </w:r>
      <w:proofErr w:type="spellEnd"/>
      <w:r>
        <w:rPr>
          <w:i/>
          <w:iCs/>
        </w:rPr>
        <w:t xml:space="preserve"> Canan</w:t>
      </w:r>
      <w:r>
        <w:t xml:space="preserve">, § 37; </w:t>
      </w:r>
      <w:r>
        <w:rPr>
          <w:i/>
          <w:iCs/>
        </w:rPr>
        <w:t>Ali Rıza Özer ve diğerleri,</w:t>
      </w:r>
      <w:r>
        <w:t xml:space="preserve"> §§ 117, 118; </w:t>
      </w:r>
      <w:r>
        <w:rPr>
          <w:i/>
          <w:iCs/>
        </w:rPr>
        <w:t>Eğitim ve Bilim Emekçileri Sendikası ve diğerleri</w:t>
      </w:r>
      <w:r>
        <w:t xml:space="preserve">, § 80; </w:t>
      </w:r>
      <w:r>
        <w:rPr>
          <w:i/>
          <w:iCs/>
        </w:rPr>
        <w:t>Osman Erbil</w:t>
      </w:r>
      <w:r>
        <w:t xml:space="preserve">, § 47; </w:t>
      </w:r>
      <w:r>
        <w:rPr>
          <w:i/>
          <w:iCs/>
        </w:rPr>
        <w:t>Gülşah Öztürk ve diğerleri</w:t>
      </w:r>
      <w:r>
        <w:t xml:space="preserve">, §§ 67, 68; </w:t>
      </w:r>
      <w:r>
        <w:rPr>
          <w:i/>
          <w:iCs/>
        </w:rPr>
        <w:t xml:space="preserve">Ömer Faruk Akyüz, </w:t>
      </w:r>
      <w:r>
        <w:t xml:space="preserve">§ 54).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(d)</w:t>
      </w:r>
      <w:r>
        <w:tab/>
      </w:r>
      <w:r>
        <w:rPr>
          <w:b/>
        </w:rPr>
        <w:t>Sınırlamanın Niteliği</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36.</w:t>
      </w:r>
      <w:r>
        <w:tab/>
        <w:t xml:space="preserve">Toplanma özgürlüğünün kullanımından kaynaklanan kamu düzenine yönelik tehditlerin gerçeklik değeri taşıması hâlinde yetkili makamlar bu tehditleri bertaraf edecek tedbirleri alabilirler. </w:t>
      </w:r>
      <w:proofErr w:type="gramStart"/>
      <w:r>
        <w:t xml:space="preserve">Alınan bu tedbirlere aykırı toplantılar düzenlenmesi, bu tür toplantılara </w:t>
      </w:r>
      <w:proofErr w:type="spellStart"/>
      <w:r>
        <w:t>katılınması</w:t>
      </w:r>
      <w:proofErr w:type="spellEnd"/>
      <w:r>
        <w:t xml:space="preserve"> veya bu tür toplantılarda suçlar işlenmesi hâlinde de cezalar verilebilir (</w:t>
      </w:r>
      <w:r>
        <w:rPr>
          <w:i/>
          <w:iCs/>
        </w:rPr>
        <w:t xml:space="preserve">Dilan </w:t>
      </w:r>
      <w:proofErr w:type="spellStart"/>
      <w:r>
        <w:rPr>
          <w:i/>
          <w:iCs/>
        </w:rPr>
        <w:t>Ögüz</w:t>
      </w:r>
      <w:proofErr w:type="spellEnd"/>
      <w:r>
        <w:rPr>
          <w:i/>
          <w:iCs/>
        </w:rPr>
        <w:t xml:space="preserve"> Canan</w:t>
      </w:r>
      <w:r>
        <w:t xml:space="preserve">, § 40; </w:t>
      </w:r>
      <w:r>
        <w:rPr>
          <w:i/>
          <w:iCs/>
        </w:rPr>
        <w:t xml:space="preserve">Eğitim ve Bilim Emekçileri Sendikası ve diğerleri, </w:t>
      </w:r>
      <w:r>
        <w:t xml:space="preserve">§ 81; toplantı hakkına kamu düzeninin bozulması nedeniyle yapılan bir müdahalenin demokratik toplumda gerekli olduğuna karar verildiği bir başvuru için bkz. </w:t>
      </w:r>
      <w:r>
        <w:rPr>
          <w:i/>
          <w:iCs/>
        </w:rPr>
        <w:t>Gülşah Öztürk ve diğerleri</w:t>
      </w:r>
      <w:r>
        <w:t xml:space="preserve">, §§ 76-86). </w:t>
      </w:r>
      <w:proofErr w:type="gramEnd"/>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37.</w:t>
      </w:r>
      <w:r>
        <w:tab/>
        <w:t>Bununla birlikte alınan tedbirlerin veya öngörülen cezaların barışçıl toplantı hakkına dolaylı olarak usulsüz sınırlamalara dönüşmesine müsaade edilemez. Güvence altına alınan toplanma hakkını kullanırken kamu otoritelerinin keyfî müdahalelerine karşı da bireyin korunması gerekir (</w:t>
      </w:r>
      <w:r>
        <w:rPr>
          <w:i/>
          <w:iCs/>
        </w:rPr>
        <w:t xml:space="preserve">Dilan </w:t>
      </w:r>
      <w:proofErr w:type="spellStart"/>
      <w:r>
        <w:rPr>
          <w:i/>
          <w:iCs/>
        </w:rPr>
        <w:t>Ögüz</w:t>
      </w:r>
      <w:proofErr w:type="spellEnd"/>
      <w:r>
        <w:rPr>
          <w:i/>
          <w:iCs/>
        </w:rPr>
        <w:t xml:space="preserve"> Canan</w:t>
      </w:r>
      <w:r>
        <w:t xml:space="preserve">, § 42; </w:t>
      </w:r>
      <w:r>
        <w:rPr>
          <w:i/>
          <w:iCs/>
        </w:rPr>
        <w:t>Eğitim ve Bilim Emekçileri Sendikası ve diğerleri</w:t>
      </w:r>
      <w:r>
        <w:t xml:space="preserve">, § 82; </w:t>
      </w:r>
      <w:r>
        <w:rPr>
          <w:i/>
          <w:iCs/>
        </w:rPr>
        <w:t>Gülşah Öztürk ve diğerleri</w:t>
      </w:r>
      <w:r>
        <w:t>, § 76).</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(2)</w:t>
      </w:r>
      <w:r>
        <w:tab/>
      </w:r>
      <w:r>
        <w:rPr>
          <w:b/>
        </w:rPr>
        <w:t>İlkelerin Olaya Uygulanması</w:t>
      </w:r>
    </w:p>
    <w:p w:rsidR="00F77A8A" w:rsidRDefault="00F77A8A">
      <w:pPr>
        <w:tabs>
          <w:tab w:val="left" w:pos="840"/>
        </w:tabs>
        <w:spacing w:line="288" w:lineRule="exact"/>
        <w:ind w:firstLine="857"/>
        <w:jc w:val="both"/>
      </w:pPr>
    </w:p>
    <w:p w:rsidR="00F77A8A" w:rsidRDefault="00F77A8A">
      <w:pPr>
        <w:tabs>
          <w:tab w:val="left" w:pos="1280"/>
        </w:tabs>
        <w:spacing w:line="288" w:lineRule="exact"/>
        <w:ind w:firstLine="857"/>
        <w:jc w:val="both"/>
      </w:pPr>
      <w:r>
        <w:t>38.</w:t>
      </w:r>
      <w:r>
        <w:tab/>
        <w:t>Somut olayda Niğde Valiliği bazı alanlarda basın açıklaması yapılmasını yasaklamıştır (bkz. § 11). Söz konusu kararın huzur, güvenlik ve kamu düzeninin sağlanması amacıyla alındığı görülmektedir. Başvurucuların izin verilmeyen alanda basın açıklaması yapması üzerine 5326 sayılı Kanun'un 32. maddesi uyarınca emre itaatsizlik edildiği gerekçesiyle idari para cezası şeklinde yaptırım kararı uygulanmıştır.</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39. Öncelikle devletin kamunun huzuru ve güvenliğinin sağlanması amacıyla yapacağı düzenleme ve uygulamalarda belli bir takdir alanına sahip olduğunun kabulü gerekir. Bununla birlikte 5326 sayılı Kanun'un 32. maddesinde yer alan</w:t>
      </w:r>
      <w:r>
        <w:rPr>
          <w:i/>
          <w:iCs/>
        </w:rPr>
        <w:t xml:space="preserve"> "emre itaatsizlik"</w:t>
      </w:r>
      <w:r>
        <w:t xml:space="preserve"> kabahatinin barışçıl gösterilere dolaylı müdahale edilmesinde kullanılma riski bulunduğu hatırda tutulmalıdır (</w:t>
      </w:r>
      <w:r>
        <w:rPr>
          <w:i/>
          <w:iCs/>
        </w:rPr>
        <w:t xml:space="preserve">Rıza Gökçen </w:t>
      </w:r>
      <w:proofErr w:type="spellStart"/>
      <w:r>
        <w:rPr>
          <w:i/>
          <w:iCs/>
        </w:rPr>
        <w:t>Erus</w:t>
      </w:r>
      <w:proofErr w:type="spellEnd"/>
      <w:r>
        <w:t xml:space="preserve">, § 61; </w:t>
      </w:r>
      <w:r>
        <w:rPr>
          <w:i/>
          <w:iCs/>
        </w:rPr>
        <w:t xml:space="preserve">Dursun Soydan ve diğerleri, </w:t>
      </w:r>
      <w:r>
        <w:t xml:space="preserve">§ 55).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40.</w:t>
      </w:r>
      <w:r>
        <w:tab/>
        <w:t xml:space="preserve">5326 sayılı Kanun'un 32. maddesi uyarınca yetkili merciler tarafından verilen emrin amacı kamu güvenliğinin, kamu düzeninin veya genel sağlığın korunması olmalıdır. Emre aykırı davranışın cezalandırılabilmesi için kanunda öngörülen kabahatin uygulanma koşullarının somut olayda bulunup bulunmadığı ve kabahatin unsurlarının neler olması gerektiği meselesi Anayasa Mahkemesinin ilgi alanının dışındadır. Buna karşılık yetkili </w:t>
      </w:r>
      <w:proofErr w:type="spellStart"/>
      <w:r>
        <w:t>mercinin</w:t>
      </w:r>
      <w:proofErr w:type="spellEnd"/>
      <w:r>
        <w:t xml:space="preserve"> verdiği emir ya da bu emre aykırı davranışın cezalandırılması anayasal bir hakka müdahale oluşturursa bu müdahale, Anayasa Mahkemesinin ilgi alanında olacaktır (</w:t>
      </w:r>
      <w:r>
        <w:rPr>
          <w:i/>
          <w:iCs/>
        </w:rPr>
        <w:t>Eğitim ve Bilim Emekçileri Sendikası ve diğerleri</w:t>
      </w:r>
      <w:r>
        <w:t xml:space="preserve">, § 87). </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proofErr w:type="gramStart"/>
      <w:r>
        <w:t>41. Bir kimse sırf emre aykırı davranmış olması nedeniyle cezalandırılmış ve Anayasa Mahkemesi temel hak ve özgürlüklere bir müdahalede bulunulduğunu kabul etmiş ise Anayasa Mahkemesinin bundan sonra denetleyeceği ilk husus emre aykırılık nedeniyle kamu düzeninin bozulup bozulmadığı, bozulma tehlikesinin bulunup bulunmadığı ya da böyle bir tehlikenin ortaya çıkıp çıkmadığı olacaktır (</w:t>
      </w:r>
      <w:r>
        <w:rPr>
          <w:i/>
          <w:iCs/>
        </w:rPr>
        <w:t>Eğitim ve Bilim Emekçileri Sendikası ve diğerleri</w:t>
      </w:r>
      <w:r>
        <w:t xml:space="preserve">, § 88; </w:t>
      </w:r>
      <w:r>
        <w:rPr>
          <w:i/>
          <w:iCs/>
        </w:rPr>
        <w:t xml:space="preserve">Rıza Gökçen </w:t>
      </w:r>
      <w:proofErr w:type="spellStart"/>
      <w:r>
        <w:rPr>
          <w:i/>
          <w:iCs/>
        </w:rPr>
        <w:t>Erus</w:t>
      </w:r>
      <w:proofErr w:type="spellEnd"/>
      <w:r>
        <w:t xml:space="preserve">, § 63; </w:t>
      </w:r>
      <w:r>
        <w:rPr>
          <w:i/>
          <w:iCs/>
        </w:rPr>
        <w:t xml:space="preserve">Dursun Soydan ve diğerleri, </w:t>
      </w:r>
      <w:r>
        <w:t>§ 57).</w:t>
      </w:r>
      <w:proofErr w:type="gramEnd"/>
    </w:p>
    <w:p w:rsidR="00F77A8A" w:rsidRDefault="00F77A8A">
      <w:pPr>
        <w:tabs>
          <w:tab w:val="left" w:pos="1260"/>
          <w:tab w:val="left" w:pos="1280"/>
        </w:tabs>
        <w:spacing w:line="288" w:lineRule="exact"/>
        <w:ind w:firstLine="857"/>
        <w:jc w:val="both"/>
      </w:pPr>
    </w:p>
    <w:p w:rsidR="00F77A8A" w:rsidRDefault="00F77A8A">
      <w:pPr>
        <w:tabs>
          <w:tab w:val="left" w:pos="1280"/>
        </w:tabs>
        <w:spacing w:line="288" w:lineRule="exact"/>
        <w:ind w:firstLine="857"/>
        <w:jc w:val="both"/>
      </w:pPr>
      <w:r>
        <w:t xml:space="preserve">42. Usulüne uygun olarak verilmiş bir emre aykırı davranışın varlığı tek başına temel hak ve özgürlüklere müdahale için yeterli kabul edilemez. </w:t>
      </w:r>
      <w:proofErr w:type="gramStart"/>
      <w:r>
        <w:t xml:space="preserve">Temel hakka müdahaleyi haklı kılan ve emrin amacı olan kamu güvenliğinin, kamu düzeninin, genel sağlığın bozulduğunun veya bozulma tehlikesinin bulunduğunun da kamu gücünü kullanan yetkili mercilerin kararlarında </w:t>
      </w:r>
      <w:r>
        <w:lastRenderedPageBreak/>
        <w:t>(örneğin ceza tutanağını düzenleyen polis raporlarında veya derece mahkemelerinin gerekçelerinde) gösterilmesi gerekir (</w:t>
      </w:r>
      <w:r>
        <w:rPr>
          <w:i/>
          <w:iCs/>
        </w:rPr>
        <w:t xml:space="preserve">Rıza Gökçen </w:t>
      </w:r>
      <w:proofErr w:type="spellStart"/>
      <w:r>
        <w:rPr>
          <w:i/>
          <w:iCs/>
        </w:rPr>
        <w:t>Erus</w:t>
      </w:r>
      <w:proofErr w:type="spellEnd"/>
      <w:r>
        <w:rPr>
          <w:i/>
          <w:iCs/>
        </w:rPr>
        <w:t xml:space="preserve"> ve diğerleri,</w:t>
      </w:r>
      <w:r>
        <w:t xml:space="preserve"> § 64; </w:t>
      </w:r>
      <w:r>
        <w:rPr>
          <w:i/>
          <w:iCs/>
        </w:rPr>
        <w:t xml:space="preserve">Dilan </w:t>
      </w:r>
      <w:proofErr w:type="spellStart"/>
      <w:r>
        <w:rPr>
          <w:i/>
          <w:iCs/>
        </w:rPr>
        <w:t>Ögüz</w:t>
      </w:r>
      <w:proofErr w:type="spellEnd"/>
      <w:r>
        <w:rPr>
          <w:i/>
          <w:iCs/>
        </w:rPr>
        <w:t xml:space="preserve"> Canan,</w:t>
      </w:r>
      <w:r>
        <w:t xml:space="preserve"> §§ 51, 53; </w:t>
      </w:r>
      <w:r>
        <w:rPr>
          <w:i/>
          <w:iCs/>
        </w:rPr>
        <w:t>Dursun Soydan ve diğerleri,</w:t>
      </w:r>
      <w:r>
        <w:t xml:space="preserve"> § 57 ).</w:t>
      </w:r>
      <w:proofErr w:type="gramEnd"/>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43.</w:t>
      </w:r>
      <w:r>
        <w:tab/>
        <w:t>Öte yandan mevcut başvuruda olduğu gibi göstericilerin şiddet eylemlerine karışmadıkları durumlarda kamu makamlarının toplantı ve gösteri yürüyüşü düzenleme hakkına belirli bir ölçüye kadar müsamaha göstermesi beklenir (</w:t>
      </w:r>
      <w:r>
        <w:rPr>
          <w:i/>
          <w:iCs/>
        </w:rPr>
        <w:t xml:space="preserve">Eğitim ve Bilim Emekçileri Sendikası ve diğerleri, </w:t>
      </w:r>
      <w:r>
        <w:t xml:space="preserve">§ 81; </w:t>
      </w:r>
      <w:r>
        <w:rPr>
          <w:i/>
          <w:iCs/>
        </w:rPr>
        <w:t>Dursun Soydan ve diğerleri,</w:t>
      </w:r>
      <w:r>
        <w:t xml:space="preserve"> § 59; </w:t>
      </w:r>
      <w:r>
        <w:rPr>
          <w:i/>
          <w:iCs/>
        </w:rPr>
        <w:t xml:space="preserve">Dilan </w:t>
      </w:r>
      <w:proofErr w:type="spellStart"/>
      <w:r>
        <w:rPr>
          <w:i/>
          <w:iCs/>
        </w:rPr>
        <w:t>Ögüz</w:t>
      </w:r>
      <w:proofErr w:type="spellEnd"/>
      <w:r>
        <w:rPr>
          <w:i/>
          <w:iCs/>
        </w:rPr>
        <w:t xml:space="preserve"> Canan,</w:t>
      </w:r>
      <w:r>
        <w:t xml:space="preserve"> § 55; </w:t>
      </w:r>
      <w:r>
        <w:rPr>
          <w:i/>
          <w:iCs/>
        </w:rPr>
        <w:t>Ömer Faruk Akyüz,</w:t>
      </w:r>
      <w:r>
        <w:t xml:space="preserve"> § 70). Barışçıl bir gösteri veya basın açıklaması nedeniyle -somut olayda olduğu gibi- ilke olarak cezai bir yaptırım da uygulanmaması gerekir. </w:t>
      </w:r>
    </w:p>
    <w:p w:rsidR="00F77A8A" w:rsidRDefault="00F77A8A">
      <w:pPr>
        <w:tabs>
          <w:tab w:val="left" w:pos="1280"/>
        </w:tabs>
        <w:spacing w:line="288" w:lineRule="exact"/>
        <w:ind w:firstLine="857"/>
        <w:jc w:val="both"/>
      </w:pPr>
    </w:p>
    <w:p w:rsidR="00F77A8A" w:rsidRDefault="00F77A8A">
      <w:pPr>
        <w:tabs>
          <w:tab w:val="left" w:pos="1240"/>
          <w:tab w:val="left" w:pos="1280"/>
        </w:tabs>
        <w:spacing w:line="288" w:lineRule="exact"/>
        <w:ind w:firstLine="857"/>
        <w:jc w:val="both"/>
      </w:pPr>
      <w:r>
        <w:t>44.</w:t>
      </w:r>
      <w:r>
        <w:tab/>
        <w:t>Somut olayda, polis tutanaklarında ve Hâkimlik kararında başvurucuların yaptıkları basın açıklaması nedeniyle kamu düzeninin bozulduğuna veya bozulma tehlikesi ortaya çıktığına (</w:t>
      </w:r>
      <w:r>
        <w:rPr>
          <w:i/>
          <w:iCs/>
        </w:rPr>
        <w:t>Eğitim ve Bilim Emekçileri Sendikası ve diğerleri,</w:t>
      </w:r>
      <w:r>
        <w:t xml:space="preserve"> § 93; </w:t>
      </w:r>
      <w:r>
        <w:rPr>
          <w:i/>
          <w:iCs/>
        </w:rPr>
        <w:t xml:space="preserve">Dursun Soydan ve diğerleri, </w:t>
      </w:r>
      <w:r>
        <w:t>§ 60), yani müdahalenin zorunlu bir toplumsal ihtiyacı karşıladığına ilişkin somut olayla bağlantılı bir gerekçe de belirtilmemiştir.</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45. Anayasa'nın 34. maddesi, barışçıl toplantı ve gösteri yürüyüşüne katılan kişilere kınanabilir bir olaya karışmadıkları sürece en hafif kabul edilecek cezanın dahi uygulanmamasını teminat altına alır. Zira barışçıl gösteriye katılanlar hakkında gösteri sonrasında idari para cezaları verilmesi gibi yaptırımlar kişilerin haklarını kullanmalarında caydırıcı etkiye neden olabilir (</w:t>
      </w:r>
      <w:r>
        <w:rPr>
          <w:i/>
          <w:iCs/>
        </w:rPr>
        <w:t>Rıza Gökçen</w:t>
      </w:r>
      <w:r>
        <w:t xml:space="preserve"> </w:t>
      </w:r>
      <w:proofErr w:type="spellStart"/>
      <w:r>
        <w:rPr>
          <w:i/>
          <w:iCs/>
        </w:rPr>
        <w:t>Erus</w:t>
      </w:r>
      <w:proofErr w:type="spellEnd"/>
      <w:r>
        <w:rPr>
          <w:i/>
          <w:iCs/>
        </w:rPr>
        <w:t>,</w:t>
      </w:r>
      <w:r>
        <w:t xml:space="preserve"> § 55). Somut olayda başvurucular hakkında uygulanan para cezalarının başvurucuların benzer toplantı veya gösterilere katılmasında caydırıcı etki doğurabileceği kabul edilmelidir (</w:t>
      </w:r>
      <w:r>
        <w:rPr>
          <w:i/>
          <w:iCs/>
        </w:rPr>
        <w:t>Dursun Soydan ve diğerleri,</w:t>
      </w:r>
      <w:r>
        <w:t xml:space="preserve"> § 63).</w:t>
      </w:r>
    </w:p>
    <w:p w:rsidR="00F77A8A" w:rsidRDefault="00F77A8A">
      <w:pPr>
        <w:tabs>
          <w:tab w:val="left" w:pos="1260"/>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 xml:space="preserve">46. Dolayısıyla idari para cezası verilmesi nedeniyle başvurucuların toplantı ve gösteri yürüyüşü düzenleme hakkına yapılan müdahalenin, demokratik toplum düzeninin gereklerine uygun bir müdahale olarak değerlendirilemeyeceği kanaatine ulaşılmıştır. </w:t>
      </w:r>
    </w:p>
    <w:p w:rsidR="00F77A8A" w:rsidRDefault="00F77A8A">
      <w:pPr>
        <w:tabs>
          <w:tab w:val="left" w:pos="1260"/>
          <w:tab w:val="left" w:pos="1280"/>
        </w:tabs>
        <w:spacing w:line="288" w:lineRule="exact"/>
        <w:ind w:firstLine="857"/>
        <w:jc w:val="both"/>
      </w:pPr>
      <w:r>
        <w:t xml:space="preserve">        </w:t>
      </w:r>
      <w:r>
        <w:tab/>
      </w:r>
    </w:p>
    <w:p w:rsidR="00F77A8A" w:rsidRDefault="00F77A8A">
      <w:pPr>
        <w:tabs>
          <w:tab w:val="left" w:pos="1260"/>
          <w:tab w:val="left" w:pos="1280"/>
        </w:tabs>
        <w:spacing w:line="288" w:lineRule="exact"/>
        <w:ind w:firstLine="857"/>
        <w:jc w:val="both"/>
      </w:pPr>
      <w:r>
        <w:t>47.</w:t>
      </w:r>
      <w:r>
        <w:tab/>
        <w:t>Açıklanan gerekçelerle Anayasa’nın 34. maddesinde güvence altına alınan toplantı ve gösteri yürüyüşü düzenleme hakkının ihlal edildiğine karar verilmesi gerekir.</w:t>
      </w:r>
    </w:p>
    <w:p w:rsidR="00F77A8A" w:rsidRDefault="00F77A8A">
      <w:pPr>
        <w:tabs>
          <w:tab w:val="left" w:pos="1260"/>
          <w:tab w:val="left" w:pos="1280"/>
        </w:tabs>
        <w:spacing w:line="288" w:lineRule="exact"/>
        <w:ind w:firstLine="857"/>
        <w:jc w:val="both"/>
      </w:pPr>
    </w:p>
    <w:p w:rsidR="00F77A8A" w:rsidRDefault="00F77A8A">
      <w:pPr>
        <w:tabs>
          <w:tab w:val="left" w:pos="1260"/>
          <w:tab w:val="left" w:pos="1280"/>
        </w:tabs>
        <w:spacing w:line="288" w:lineRule="exact"/>
        <w:ind w:firstLine="857"/>
        <w:jc w:val="both"/>
        <w:rPr>
          <w:b/>
        </w:rPr>
      </w:pPr>
      <w:r>
        <w:rPr>
          <w:b/>
        </w:rPr>
        <w:t>3.</w:t>
      </w:r>
      <w:r>
        <w:tab/>
      </w:r>
      <w:r>
        <w:rPr>
          <w:b/>
        </w:rPr>
        <w:t>6216 Sayılı Kanun'un 50. Maddesi Yönünden</w:t>
      </w:r>
    </w:p>
    <w:p w:rsidR="00F77A8A" w:rsidRDefault="00F77A8A">
      <w:pPr>
        <w:tabs>
          <w:tab w:val="left" w:pos="1280"/>
        </w:tabs>
        <w:spacing w:line="288" w:lineRule="exact"/>
        <w:ind w:firstLine="857"/>
        <w:jc w:val="both"/>
      </w:pPr>
    </w:p>
    <w:p w:rsidR="00F77A8A" w:rsidRDefault="00F77A8A">
      <w:pPr>
        <w:tabs>
          <w:tab w:val="left" w:pos="1200"/>
          <w:tab w:val="left" w:pos="1280"/>
        </w:tabs>
        <w:spacing w:line="288" w:lineRule="exact"/>
        <w:ind w:firstLine="857"/>
        <w:jc w:val="both"/>
      </w:pPr>
      <w:r>
        <w:t>48.</w:t>
      </w:r>
      <w:r>
        <w:tab/>
        <w:t xml:space="preserve"> </w:t>
      </w:r>
      <w:proofErr w:type="gramStart"/>
      <w:r>
        <w:t>30/3/2011</w:t>
      </w:r>
      <w:proofErr w:type="gramEnd"/>
      <w:r>
        <w:t xml:space="preserve"> tarihli ve 6216 sayılı Anayasa Mahkemesinin Kuruluşu ve Yargılama Usulleri Hakkında Kanun’un 50. maddesinin (1) ve (2) numaralı fıkraları şöyledir:</w:t>
      </w:r>
    </w:p>
    <w:p w:rsidR="00F77A8A" w:rsidRDefault="00F77A8A">
      <w:pPr>
        <w:tabs>
          <w:tab w:val="left" w:pos="1240"/>
        </w:tabs>
        <w:spacing w:line="288" w:lineRule="exact"/>
        <w:ind w:firstLine="857"/>
        <w:jc w:val="both"/>
      </w:pPr>
    </w:p>
    <w:p w:rsidR="00F77A8A" w:rsidRDefault="00F77A8A">
      <w:pPr>
        <w:tabs>
          <w:tab w:val="left" w:pos="1259"/>
          <w:tab w:val="left" w:pos="1279"/>
        </w:tabs>
        <w:spacing w:line="288" w:lineRule="exact"/>
        <w:ind w:left="862" w:firstLine="420"/>
        <w:jc w:val="both"/>
        <w:rPr>
          <w:i/>
          <w:iCs/>
          <w:sz w:val="22"/>
        </w:rPr>
      </w:pPr>
      <w:r>
        <w:rPr>
          <w:i/>
          <w:iCs/>
          <w:sz w:val="22"/>
        </w:rPr>
        <w:t>"(1) Esas inceleme sonunda, başvurucunun hakkının ihlal edildiğine ya da edilmediğine karar verilir. İhlal kararı verilmesi hâlinde ihlalin ve sonuçlarının ortadan kaldırılması için yapılması gerekenlere hükmedilir…</w:t>
      </w:r>
    </w:p>
    <w:p w:rsidR="00F77A8A" w:rsidRDefault="00F77A8A">
      <w:pPr>
        <w:tabs>
          <w:tab w:val="left" w:pos="1259"/>
          <w:tab w:val="left" w:pos="1279"/>
        </w:tabs>
        <w:spacing w:line="288" w:lineRule="exact"/>
        <w:ind w:left="862" w:firstLine="420"/>
        <w:jc w:val="both"/>
      </w:pPr>
    </w:p>
    <w:p w:rsidR="00F77A8A" w:rsidRDefault="00F77A8A">
      <w:pPr>
        <w:tabs>
          <w:tab w:val="left" w:pos="1259"/>
          <w:tab w:val="left" w:pos="1279"/>
        </w:tabs>
        <w:spacing w:line="288" w:lineRule="exact"/>
        <w:ind w:left="862" w:firstLine="420"/>
        <w:jc w:val="both"/>
        <w:rPr>
          <w:i/>
          <w:iCs/>
          <w:sz w:val="22"/>
        </w:rPr>
      </w:pPr>
      <w:r>
        <w:rPr>
          <w:i/>
          <w:iCs/>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F77A8A" w:rsidRDefault="00F77A8A">
      <w:pPr>
        <w:tabs>
          <w:tab w:val="left" w:pos="1279"/>
        </w:tabs>
        <w:spacing w:line="288" w:lineRule="exact"/>
        <w:ind w:left="862" w:hanging="6"/>
        <w:jc w:val="both"/>
      </w:pPr>
    </w:p>
    <w:p w:rsidR="00F77A8A" w:rsidRDefault="00F77A8A">
      <w:pPr>
        <w:tabs>
          <w:tab w:val="left" w:pos="1280"/>
        </w:tabs>
        <w:spacing w:line="288" w:lineRule="exact"/>
        <w:ind w:firstLine="857"/>
        <w:jc w:val="both"/>
      </w:pPr>
      <w:r>
        <w:t>49.</w:t>
      </w:r>
      <w:r>
        <w:tab/>
        <w:t xml:space="preserve">6216 sayılı Kanun'un 50. maddesinin uygulanmasına ilişkin kabul edilen ilkeler için bkz. </w:t>
      </w:r>
      <w:r>
        <w:rPr>
          <w:i/>
          <w:iCs/>
        </w:rPr>
        <w:t>Mehmet Doğan</w:t>
      </w:r>
      <w:r>
        <w:t xml:space="preserve"> [GK], B. No: 2014/8875, </w:t>
      </w:r>
      <w:proofErr w:type="gramStart"/>
      <w:r>
        <w:t>7/6/2018</w:t>
      </w:r>
      <w:proofErr w:type="gramEnd"/>
      <w:r>
        <w:t>, §§ 54-60 kararı.</w:t>
      </w:r>
    </w:p>
    <w:p w:rsidR="00F77A8A" w:rsidRDefault="00F77A8A">
      <w:pPr>
        <w:tabs>
          <w:tab w:val="left" w:pos="800"/>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lastRenderedPageBreak/>
        <w:t>50. Başvurucular, ihlalin tespiti ile birlikte yeniden yargılama talep etmişlerdir. Başvurucular ayrıca ayrı ayrı olmak üzere 10.000 TL manevi tazminat talebinde bulunmuşlardır.</w:t>
      </w:r>
    </w:p>
    <w:p w:rsidR="00F77A8A" w:rsidRDefault="00F77A8A">
      <w:pPr>
        <w:tabs>
          <w:tab w:val="left" w:pos="800"/>
          <w:tab w:val="left" w:pos="1280"/>
        </w:tabs>
        <w:spacing w:line="288" w:lineRule="exact"/>
        <w:ind w:firstLine="857"/>
        <w:jc w:val="both"/>
      </w:pPr>
    </w:p>
    <w:p w:rsidR="00F77A8A" w:rsidRDefault="00F77A8A">
      <w:pPr>
        <w:tabs>
          <w:tab w:val="left" w:pos="840"/>
          <w:tab w:val="left" w:pos="1260"/>
        </w:tabs>
        <w:spacing w:line="288" w:lineRule="exact"/>
        <w:ind w:firstLine="857"/>
        <w:jc w:val="both"/>
      </w:pPr>
      <w:r>
        <w:t>51.</w:t>
      </w:r>
      <w:r>
        <w:tab/>
        <w:t xml:space="preserve">Başvuruculara verilen idari para cezası nedeniyle toplantı ve gösteri yürüyüşü düzenleme hakkının ihlal edildiğine karar verilmiştir. Bu nedenle ihlalin idarenin işleminden kaynaklandığı anlaşılmaktadır. Bununla birlikte idari para cezasının iptali istemiyle açılan davanın reddedilmesi ve dolayısıyla davada ihlalin giderilememesi nedeniyle ihlalin aynı zamanda mahkeme kararından da kaynaklandığı görülmektedir. </w:t>
      </w:r>
    </w:p>
    <w:p w:rsidR="00F77A8A" w:rsidRDefault="00F77A8A">
      <w:pPr>
        <w:tabs>
          <w:tab w:val="left" w:pos="840"/>
          <w:tab w:val="left" w:pos="1260"/>
        </w:tabs>
        <w:spacing w:line="288" w:lineRule="exact"/>
        <w:ind w:firstLine="857"/>
        <w:jc w:val="both"/>
      </w:pPr>
    </w:p>
    <w:p w:rsidR="00F77A8A" w:rsidRDefault="00F77A8A">
      <w:pPr>
        <w:tabs>
          <w:tab w:val="left" w:pos="1280"/>
        </w:tabs>
        <w:spacing w:line="288" w:lineRule="exact"/>
        <w:ind w:firstLine="857"/>
        <w:jc w:val="both"/>
      </w:pPr>
      <w:r>
        <w:t>52.</w:t>
      </w:r>
      <w:r>
        <w:tab/>
        <w:t xml:space="preserve">Bu durumda toplantı ve gösteri yürüyüşü düzenleme hakkının ihlalinin sonuçlarının ortadan kaldırılması için yeniden yargılama yapılmasında hukuki yarar bulunmaktadır. Buna göre yapılacak yeniden yargılama ise 6216 sayılı Kanun'un 50. maddesinin (2) numaralı fıkrasına göre ihlalin ve sonuçlarının ortadan kaldırılmasına yöneliktir. Bu sebeple kararın bir örneğinin yeniden yargılama yapılması kapsamında Niğde Sulh Ceza Hâkimliğine gönderilmesine karar verilmesi gerekir. Bu doğrultuda ihlal sonucuna uygun olarak idari para cezasının iptali talebinin reddine ilişkin mahkeme kararının ortadan kaldırılmasına ilgili mahkemece karar verilmesi gerekmektedir.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53.</w:t>
      </w:r>
      <w:r>
        <w:tab/>
        <w:t xml:space="preserve">Yeniden yargılama yapılmasına hükmedildiğinden ayrıca tazminata hükmedilmesine gerek görülmemiştir. </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54.</w:t>
      </w:r>
      <w:r>
        <w:tab/>
        <w:t>Dosyadaki belgelerden tespit edilen 479 TL harç ve 2.475 TL vekâlet ücretinden oluşan toplam 2.954 TL yargılama giderinin başvuruculara müştereken ödenmesine karar verilmesi gerekir.</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rPr>
          <w:b/>
        </w:rPr>
      </w:pPr>
      <w:r>
        <w:rPr>
          <w:b/>
        </w:rPr>
        <w:t>VI.</w:t>
      </w:r>
      <w:r>
        <w:tab/>
      </w:r>
      <w:r>
        <w:rPr>
          <w:b/>
        </w:rPr>
        <w:t>HÜKÜM</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Açıklanan gerekçelerle;</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A.</w:t>
      </w:r>
      <w:r>
        <w:tab/>
        <w:t>Toplantı ve gösteri yürüyüşü düzenleme hakkının ihlal edildiğine ilişkin iddianın KABUL EDİLEBİLİR OLDUĞUNA,</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B.</w:t>
      </w:r>
      <w:r>
        <w:tab/>
        <w:t>Anayasa’nın 34. maddesinde güvence altına alınan toplantı ve gösteri yürüyüşü düzenleme hakkının İHLAL EDİLDİĞİNE,</w:t>
      </w:r>
    </w:p>
    <w:p w:rsidR="00F77A8A" w:rsidRDefault="00F77A8A">
      <w:pPr>
        <w:tabs>
          <w:tab w:val="left" w:pos="1280"/>
        </w:tabs>
        <w:spacing w:line="288" w:lineRule="exact"/>
        <w:ind w:firstLine="857"/>
        <w:jc w:val="both"/>
      </w:pPr>
    </w:p>
    <w:p w:rsidR="00F77A8A" w:rsidRDefault="00F77A8A">
      <w:pPr>
        <w:tabs>
          <w:tab w:val="left" w:pos="1260"/>
          <w:tab w:val="left" w:pos="1280"/>
        </w:tabs>
        <w:spacing w:line="288" w:lineRule="exact"/>
        <w:ind w:firstLine="857"/>
        <w:jc w:val="both"/>
      </w:pPr>
      <w:r>
        <w:t>C.</w:t>
      </w:r>
      <w:r w:rsidR="007574A0">
        <w:tab/>
      </w:r>
      <w:r>
        <w:t xml:space="preserve">Kararın bir örneğinin toplantı ve gösteri yürüyüşü hakkının ihlalinin sonuçlarının ortadan kaldırılması için yeniden yargılama yapılmak üzere Niğde Sulh Ceza Hâkimliğine (2015/1253 Değişik İş ve 2015/1397 Değişik İş ) GÖNDERİLMESİNE, </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D.</w:t>
      </w:r>
      <w:r>
        <w:tab/>
        <w:t>Başvurucuların diğer taleplerinin REDDİNE,</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E.</w:t>
      </w:r>
      <w:r>
        <w:tab/>
        <w:t>479 TL harç ve 2.475 TL vekâlet ücretinden oluşan toplam 2.954 TL yargılama giderinin BAŞVURUCULARA MÜŞTEREKEN ÖDENMESİNE,</w:t>
      </w:r>
    </w:p>
    <w:p w:rsidR="00F77A8A" w:rsidRDefault="00F77A8A">
      <w:pPr>
        <w:tabs>
          <w:tab w:val="left" w:pos="1280"/>
        </w:tabs>
        <w:spacing w:line="288" w:lineRule="exact"/>
        <w:ind w:firstLine="857"/>
        <w:jc w:val="both"/>
      </w:pPr>
    </w:p>
    <w:p w:rsidR="00F77A8A" w:rsidRDefault="00F77A8A">
      <w:pPr>
        <w:tabs>
          <w:tab w:val="left" w:pos="1280"/>
        </w:tabs>
        <w:spacing w:line="288" w:lineRule="exact"/>
        <w:ind w:firstLine="857"/>
        <w:jc w:val="both"/>
      </w:pPr>
      <w:r>
        <w:t>F.</w:t>
      </w:r>
      <w:r>
        <w:tab/>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F77A8A" w:rsidRDefault="00F77A8A">
      <w:pPr>
        <w:tabs>
          <w:tab w:val="left" w:pos="1280"/>
        </w:tabs>
        <w:spacing w:line="288" w:lineRule="exact"/>
        <w:ind w:firstLine="857"/>
        <w:jc w:val="both"/>
      </w:pPr>
    </w:p>
    <w:p w:rsidR="00F77A8A" w:rsidRDefault="00F77A8A" w:rsidP="007574A0">
      <w:pPr>
        <w:tabs>
          <w:tab w:val="left" w:pos="1280"/>
        </w:tabs>
        <w:spacing w:line="288" w:lineRule="exact"/>
        <w:ind w:firstLine="857"/>
        <w:jc w:val="both"/>
      </w:pPr>
      <w:r>
        <w:t>G.</w:t>
      </w:r>
      <w:r>
        <w:tab/>
        <w:t xml:space="preserve">Kararın bir örneğinin Adalet Bakanlığına GÖNDERİLMESİNE </w:t>
      </w:r>
      <w:proofErr w:type="gramStart"/>
      <w:r>
        <w:t>25/9/2019</w:t>
      </w:r>
      <w:proofErr w:type="gramEnd"/>
      <w:r>
        <w:t xml:space="preserve"> </w:t>
      </w:r>
      <w:r>
        <w:lastRenderedPageBreak/>
        <w:t>tarihi</w:t>
      </w:r>
      <w:r w:rsidR="007574A0">
        <w:t>nde OYBİRLİĞİYLE karar verildi.</w:t>
      </w:r>
      <w:bookmarkStart w:id="0" w:name="_GoBack"/>
      <w:bookmarkEnd w:id="0"/>
    </w:p>
    <w:p w:rsidR="00F77A8A" w:rsidRDefault="00F77A8A">
      <w:pPr>
        <w:pStyle w:val="edf1393440552765"/>
        <w:spacing w:line="288" w:lineRule="exact"/>
        <w:ind w:firstLine="857"/>
        <w:jc w:val="both"/>
      </w:pPr>
    </w:p>
    <w:sectPr w:rsidR="00F77A8A" w:rsidSect="007574A0">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45D6" w:rsidRDefault="000345D6">
      <w:r>
        <w:separator/>
      </w:r>
    </w:p>
  </w:endnote>
  <w:endnote w:type="continuationSeparator" w:id="0">
    <w:p w:rsidR="000345D6" w:rsidRDefault="00034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A8A" w:rsidRDefault="00F77A8A">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7574A0">
      <w:rPr>
        <w:noProof/>
        <w:color w:val="000000"/>
        <w:sz w:val="22"/>
      </w:rPr>
      <w:t>9</w:t>
    </w:r>
    <w:r>
      <w:rPr>
        <w:color w:val="000000"/>
        <w:sz w:val="22"/>
      </w:rPr>
      <w:fldChar w:fldCharType="end"/>
    </w:r>
  </w:p>
  <w:p w:rsidR="00F77A8A" w:rsidRDefault="00F77A8A">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45D6" w:rsidRDefault="000345D6">
      <w:r>
        <w:separator/>
      </w:r>
    </w:p>
  </w:footnote>
  <w:footnote w:type="continuationSeparator" w:id="0">
    <w:p w:rsidR="000345D6" w:rsidRDefault="000345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A8A" w:rsidRDefault="00F77A8A">
    <w:pPr>
      <w:pStyle w:val="stbilgi"/>
      <w:tabs>
        <w:tab w:val="left" w:pos="2020"/>
      </w:tabs>
      <w:spacing w:line="288" w:lineRule="exact"/>
    </w:pPr>
    <w:r>
      <w:t>Başvuru Numarası</w:t>
    </w:r>
    <w:r>
      <w:tab/>
      <w:t>: 2016/10400</w:t>
    </w:r>
  </w:p>
  <w:p w:rsidR="00F77A8A" w:rsidRDefault="007574A0" w:rsidP="007574A0">
    <w:pPr>
      <w:pStyle w:val="stbilgi"/>
      <w:tabs>
        <w:tab w:val="left" w:pos="2020"/>
      </w:tabs>
      <w:spacing w:line="288" w:lineRule="exact"/>
    </w:pPr>
    <w:r>
      <w:t>Karar Tarihi</w:t>
    </w:r>
    <w:r>
      <w:tab/>
    </w:r>
    <w:r w:rsidR="00F77A8A">
      <w:t xml:space="preserve">: </w:t>
    </w:r>
    <w:proofErr w:type="gramStart"/>
    <w:r w:rsidR="00F77A8A">
      <w:t>25/9/2019</w:t>
    </w:r>
    <w:proofErr w:type="gramEnd"/>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7EB"/>
    <w:rsid w:val="000345D6"/>
    <w:rsid w:val="004407F3"/>
    <w:rsid w:val="007574A0"/>
    <w:rsid w:val="00CC66AF"/>
    <w:rsid w:val="00F747EB"/>
    <w:rsid w:val="00F77A8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653C4A62-509D-4A89-A77C-396E119C8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Index">
    <w:name w:val="Index"/>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10241883610">
    <w:name w:val="edf_1410241883610"/>
    <w:pPr>
      <w:widowControl w:val="0"/>
      <w:suppressAutoHyphens/>
    </w:pPr>
    <w:rPr>
      <w:rFonts w:eastAsia="Andale Sans UI" w:cs="Tahoma"/>
      <w:kern w:val="1"/>
      <w:sz w:val="24"/>
      <w:szCs w:val="24"/>
      <w:lang w:eastAsia="fa-IR" w:bidi="fa-IR"/>
    </w:rPr>
  </w:style>
  <w:style w:type="paragraph" w:customStyle="1" w:styleId="edf1414138722868">
    <w:name w:val="edf_141413872286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3552057026">
    <w:name w:val="edf_1423552057026"/>
    <w:pPr>
      <w:widowControl w:val="0"/>
      <w:suppressAutoHyphens/>
    </w:pPr>
    <w:rPr>
      <w:rFonts w:eastAsia="Andale Sans UI" w:cs="Tahoma"/>
      <w:kern w:val="1"/>
      <w:sz w:val="24"/>
      <w:szCs w:val="24"/>
      <w:lang w:eastAsia="fa-IR" w:bidi="fa-IR"/>
    </w:rPr>
  </w:style>
  <w:style w:type="paragraph" w:customStyle="1" w:styleId="edf1423552057056">
    <w:name w:val="edf_1423552057056"/>
    <w:pPr>
      <w:widowControl w:val="0"/>
      <w:suppressAutoHyphens/>
    </w:pPr>
    <w:rPr>
      <w:rFonts w:eastAsia="Andale Sans UI" w:cs="Tahoma"/>
      <w:kern w:val="1"/>
      <w:sz w:val="24"/>
      <w:szCs w:val="24"/>
      <w:lang w:eastAsia="fa-IR" w:bidi="fa-IR"/>
    </w:rPr>
  </w:style>
  <w:style w:type="paragraph" w:customStyle="1" w:styleId="edf1423552057046">
    <w:name w:val="edf_1423552057046"/>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35396181">
    <w:name w:val="edf_1449435396181"/>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03496475962">
    <w:name w:val="edf_1503496475962"/>
    <w:pPr>
      <w:widowControl w:val="0"/>
      <w:suppressAutoHyphens/>
    </w:pPr>
    <w:rPr>
      <w:rFonts w:eastAsia="Andale Sans UI" w:cs="Tahoma"/>
      <w:kern w:val="1"/>
      <w:sz w:val="24"/>
      <w:szCs w:val="24"/>
      <w:lang w:eastAsia="fa-IR" w:bidi="fa-IR"/>
    </w:rPr>
  </w:style>
  <w:style w:type="paragraph" w:customStyle="1" w:styleId="edf1449152583090">
    <w:name w:val="edf_1449152583090"/>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3388</Words>
  <Characters>19314</Characters>
  <Application>Microsoft Office Word</Application>
  <DocSecurity>0</DocSecurity>
  <Lines>160</Lines>
  <Paragraphs>45</Paragraphs>
  <ScaleCrop>false</ScaleCrop>
  <HeadingPairs>
    <vt:vector size="2" baseType="variant">
      <vt:variant>
        <vt:lpstr>Konu Başlığı</vt:lpstr>
      </vt:variant>
      <vt:variant>
        <vt:i4>1</vt:i4>
      </vt:variant>
    </vt:vector>
  </HeadingPairs>
  <TitlesOfParts>
    <vt:vector size="1" baseType="lpstr">
      <vt:lpstr/>
    </vt:vector>
  </TitlesOfParts>
  <Company>Adalet</Company>
  <LinksUpToDate>false</LinksUpToDate>
  <CharactersWithSpaces>22657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AB135684</dc:creator>
  <cp:keywords/>
  <cp:lastModifiedBy>Samil ESSIZ</cp:lastModifiedBy>
  <cp:revision>3</cp:revision>
  <cp:lastPrinted>1899-12-31T21:00:00Z</cp:lastPrinted>
  <dcterms:created xsi:type="dcterms:W3CDTF">2019-10-11T11:47:00Z</dcterms:created>
  <dcterms:modified xsi:type="dcterms:W3CDTF">2019-12-30T06:22:00Z</dcterms:modified>
</cp:coreProperties>
</file>