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E8404A" w:rsidRDefault="00E8404A"/>
    <w:p w:rsidR="00E8404A" w:rsidRDefault="00E8404A">
      <w:pPr>
        <w:tabs>
          <w:tab w:val="left" w:pos="1260"/>
        </w:tabs>
        <w:spacing w:line="288" w:lineRule="exact"/>
        <w:rPr>
          <w:sz w:val="28"/>
        </w:rPr>
      </w:pPr>
      <w:r>
        <w:tab/>
      </w:r>
      <w:r>
        <w:tab/>
      </w:r>
      <w:r>
        <w:rPr>
          <w:sz w:val="28"/>
        </w:rPr>
        <w:t xml:space="preserve"> </w:t>
      </w:r>
    </w:p>
    <w:p w:rsidR="00E8404A" w:rsidRDefault="00E8404A"/>
    <w:p w:rsidR="00E8404A" w:rsidRDefault="00E8404A"/>
    <w:p w:rsidR="00E8404A" w:rsidRDefault="00E8404A"/>
    <w:p w:rsidR="00E8404A" w:rsidRDefault="00E8404A">
      <w:pPr>
        <w:spacing w:after="100" w:line="288" w:lineRule="exact"/>
        <w:jc w:val="center"/>
      </w:pPr>
    </w:p>
    <w:p w:rsidR="00E8404A" w:rsidRDefault="00E8404A"/>
    <w:p w:rsidR="00E8404A" w:rsidRDefault="00E8404A"/>
    <w:p w:rsidR="00E8404A" w:rsidRDefault="00E8404A"/>
    <w:p w:rsidR="00E8404A" w:rsidRDefault="00E8404A"/>
    <w:p w:rsidR="00E8404A" w:rsidRDefault="00E8404A">
      <w:pPr>
        <w:spacing w:line="288" w:lineRule="exact"/>
        <w:jc w:val="center"/>
        <w:rPr>
          <w:b/>
          <w:sz w:val="28"/>
        </w:rPr>
      </w:pPr>
      <w:r>
        <w:rPr>
          <w:b/>
          <w:sz w:val="28"/>
        </w:rPr>
        <w:t>TÜRKİYE CUMHURİYETİ</w:t>
      </w:r>
    </w:p>
    <w:p w:rsidR="00E8404A" w:rsidRDefault="00E8404A"/>
    <w:p w:rsidR="00E8404A" w:rsidRDefault="00E8404A">
      <w:pPr>
        <w:spacing w:line="288" w:lineRule="exact"/>
        <w:jc w:val="center"/>
        <w:rPr>
          <w:b/>
          <w:sz w:val="32"/>
        </w:rPr>
      </w:pPr>
      <w:r>
        <w:rPr>
          <w:b/>
          <w:sz w:val="32"/>
        </w:rPr>
        <w:t>ANAYASA MAHKEMESİ</w:t>
      </w:r>
    </w:p>
    <w:p w:rsidR="00E8404A" w:rsidRDefault="00E8404A"/>
    <w:p w:rsidR="00E8404A" w:rsidRDefault="00E8404A"/>
    <w:p w:rsidR="00E8404A" w:rsidRDefault="00E8404A"/>
    <w:p w:rsidR="00E8404A" w:rsidRDefault="00E8404A"/>
    <w:p w:rsidR="00E8404A" w:rsidRDefault="00E8404A">
      <w:pPr>
        <w:spacing w:line="288" w:lineRule="exact"/>
        <w:jc w:val="center"/>
        <w:rPr>
          <w:b/>
          <w:sz w:val="28"/>
        </w:rPr>
      </w:pPr>
      <w:r>
        <w:rPr>
          <w:b/>
          <w:sz w:val="28"/>
        </w:rPr>
        <w:t>İKİNCİ BÖLÜM</w:t>
      </w:r>
    </w:p>
    <w:p w:rsidR="00E8404A" w:rsidRDefault="00E8404A"/>
    <w:p w:rsidR="00E8404A" w:rsidRDefault="00E8404A"/>
    <w:p w:rsidR="00E8404A" w:rsidRDefault="00E8404A"/>
    <w:p w:rsidR="00E8404A" w:rsidRDefault="00E8404A">
      <w:pPr>
        <w:spacing w:line="288" w:lineRule="exact"/>
        <w:jc w:val="center"/>
        <w:rPr>
          <w:b/>
        </w:rPr>
      </w:pPr>
      <w:r>
        <w:rPr>
          <w:b/>
        </w:rPr>
        <w:t>KARAR</w:t>
      </w:r>
    </w:p>
    <w:p w:rsidR="00E8404A" w:rsidRDefault="00E8404A">
      <w:pPr>
        <w:spacing w:line="288" w:lineRule="exact"/>
        <w:jc w:val="center"/>
      </w:pPr>
    </w:p>
    <w:p w:rsidR="00E8404A" w:rsidRDefault="00E8404A">
      <w:pPr>
        <w:spacing w:line="288" w:lineRule="exact"/>
        <w:jc w:val="center"/>
      </w:pPr>
    </w:p>
    <w:p w:rsidR="00E8404A" w:rsidRDefault="00E8404A">
      <w:pPr>
        <w:spacing w:line="288" w:lineRule="exact"/>
        <w:jc w:val="center"/>
      </w:pPr>
    </w:p>
    <w:p w:rsidR="00E8404A" w:rsidRDefault="00E8404A">
      <w:pPr>
        <w:spacing w:line="288" w:lineRule="exact"/>
        <w:jc w:val="center"/>
        <w:rPr>
          <w:b/>
        </w:rPr>
      </w:pPr>
      <w:r>
        <w:rPr>
          <w:b/>
        </w:rPr>
        <w:t>HAVA SİPAHİOĞLU VE DİĞERLERİ BAŞVURUSU</w:t>
      </w:r>
    </w:p>
    <w:p w:rsidR="00E8404A" w:rsidRDefault="00E8404A">
      <w:pPr>
        <w:spacing w:line="288" w:lineRule="exact"/>
        <w:jc w:val="center"/>
      </w:pPr>
    </w:p>
    <w:p w:rsidR="00E8404A" w:rsidRDefault="00E8404A">
      <w:pPr>
        <w:spacing w:line="288" w:lineRule="exact"/>
        <w:jc w:val="center"/>
      </w:pPr>
      <w:r>
        <w:t>(Başvuru Numarası: 2016/4317)</w:t>
      </w:r>
    </w:p>
    <w:p w:rsidR="00E8404A" w:rsidRDefault="00E8404A">
      <w:pPr>
        <w:spacing w:line="288" w:lineRule="exact"/>
        <w:jc w:val="center"/>
      </w:pPr>
    </w:p>
    <w:p w:rsidR="00E8404A" w:rsidRDefault="00E8404A">
      <w:pPr>
        <w:spacing w:line="288" w:lineRule="exact"/>
        <w:jc w:val="center"/>
      </w:pPr>
    </w:p>
    <w:p w:rsidR="00E8404A" w:rsidRDefault="00E8404A"/>
    <w:p w:rsidR="00C56D2F" w:rsidRDefault="00E8404A">
      <w:pPr>
        <w:spacing w:line="288" w:lineRule="exact"/>
        <w:jc w:val="center"/>
        <w:sectPr w:rsidR="00C56D2F" w:rsidSect="00C56D2F">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12/11/2019</w:t>
      </w:r>
      <w:proofErr w:type="gramEnd"/>
    </w:p>
    <w:p w:rsidR="00E8404A" w:rsidRDefault="00E8404A">
      <w:pPr>
        <w:spacing w:line="288" w:lineRule="exact"/>
        <w:jc w:val="center"/>
      </w:pPr>
    </w:p>
    <w:p w:rsidR="00E8404A" w:rsidRDefault="00E8404A">
      <w:pPr>
        <w:spacing w:line="288" w:lineRule="exact"/>
        <w:jc w:val="center"/>
        <w:rPr>
          <w:b/>
        </w:rPr>
      </w:pPr>
      <w:r>
        <w:rPr>
          <w:b/>
        </w:rPr>
        <w:t>İKİNCİ BÖLÜM</w:t>
      </w:r>
    </w:p>
    <w:p w:rsidR="00E8404A" w:rsidRDefault="00E8404A">
      <w:pPr>
        <w:spacing w:line="288" w:lineRule="exact"/>
        <w:jc w:val="center"/>
      </w:pPr>
    </w:p>
    <w:p w:rsidR="00E8404A" w:rsidRDefault="00E8404A">
      <w:pPr>
        <w:spacing w:line="288" w:lineRule="exact"/>
        <w:jc w:val="center"/>
      </w:pPr>
    </w:p>
    <w:p w:rsidR="00E8404A" w:rsidRDefault="00E8404A">
      <w:pPr>
        <w:spacing w:line="288" w:lineRule="exact"/>
        <w:jc w:val="center"/>
        <w:rPr>
          <w:b/>
        </w:rPr>
      </w:pPr>
      <w:r>
        <w:rPr>
          <w:b/>
        </w:rPr>
        <w:t>KARAR</w:t>
      </w:r>
    </w:p>
    <w:p w:rsidR="00E8404A" w:rsidRDefault="00E8404A">
      <w:pPr>
        <w:spacing w:line="288" w:lineRule="exact"/>
        <w:ind w:firstLine="829"/>
      </w:pPr>
    </w:p>
    <w:p w:rsidR="00E8404A" w:rsidRDefault="00E8404A">
      <w:pPr>
        <w:spacing w:line="288" w:lineRule="exact"/>
        <w:ind w:firstLine="829"/>
      </w:pPr>
    </w:p>
    <w:p w:rsidR="00E8404A" w:rsidRDefault="00E8404A">
      <w:pPr>
        <w:spacing w:line="288" w:lineRule="exact"/>
        <w:ind w:firstLine="829"/>
      </w:pPr>
    </w:p>
    <w:p w:rsidR="00E8404A" w:rsidRDefault="00E8404A">
      <w:pPr>
        <w:pStyle w:val="edf1393440552765"/>
        <w:tabs>
          <w:tab w:val="left" w:pos="2880"/>
          <w:tab w:val="left" w:pos="3040"/>
        </w:tabs>
        <w:spacing w:after="100" w:line="288" w:lineRule="exact"/>
        <w:ind w:firstLine="857"/>
        <w:jc w:val="both"/>
      </w:pPr>
      <w:r>
        <w:rPr>
          <w:b/>
        </w:rPr>
        <w:t>Başkan</w:t>
      </w:r>
      <w:r>
        <w:tab/>
      </w:r>
      <w:r>
        <w:rPr>
          <w:b/>
        </w:rPr>
        <w:t>:</w:t>
      </w:r>
      <w:r>
        <w:tab/>
        <w:t>Recep KÖMÜRCÜ</w:t>
      </w:r>
    </w:p>
    <w:p w:rsidR="00E8404A" w:rsidRDefault="00E8404A">
      <w:pPr>
        <w:pStyle w:val="edf1393440552765"/>
        <w:tabs>
          <w:tab w:val="left" w:pos="2880"/>
          <w:tab w:val="left" w:pos="3040"/>
        </w:tabs>
        <w:spacing w:after="100" w:line="288" w:lineRule="exact"/>
        <w:ind w:firstLine="857"/>
        <w:jc w:val="both"/>
      </w:pPr>
      <w:r>
        <w:rPr>
          <w:b/>
        </w:rPr>
        <w:t>Üyeler</w:t>
      </w:r>
      <w:r>
        <w:tab/>
      </w:r>
      <w:r>
        <w:rPr>
          <w:b/>
        </w:rPr>
        <w:t>:</w:t>
      </w:r>
      <w:r>
        <w:tab/>
        <w:t>Engin YILDIRIM</w:t>
      </w:r>
    </w:p>
    <w:p w:rsidR="00E8404A" w:rsidRDefault="00E8404A">
      <w:pPr>
        <w:pStyle w:val="edf1393440552765"/>
        <w:tabs>
          <w:tab w:val="left" w:pos="2880"/>
          <w:tab w:val="left" w:pos="3040"/>
        </w:tabs>
        <w:spacing w:after="100" w:line="288" w:lineRule="exact"/>
        <w:ind w:firstLine="857"/>
        <w:jc w:val="both"/>
      </w:pPr>
      <w:r>
        <w:tab/>
      </w:r>
      <w:r>
        <w:tab/>
        <w:t>Celal Mümtaz AKINCI</w:t>
      </w:r>
    </w:p>
    <w:p w:rsidR="00E8404A" w:rsidRDefault="00E8404A">
      <w:pPr>
        <w:pStyle w:val="edf1393440552765"/>
        <w:tabs>
          <w:tab w:val="left" w:pos="2880"/>
          <w:tab w:val="left" w:pos="3040"/>
        </w:tabs>
        <w:spacing w:after="100" w:line="288" w:lineRule="exact"/>
        <w:ind w:firstLine="857"/>
        <w:jc w:val="both"/>
      </w:pPr>
      <w:r>
        <w:tab/>
      </w:r>
      <w:r>
        <w:tab/>
        <w:t>Rıdvan GÜLEÇ</w:t>
      </w:r>
    </w:p>
    <w:p w:rsidR="00E8404A" w:rsidRDefault="00E8404A">
      <w:pPr>
        <w:pStyle w:val="edf1393440552765"/>
        <w:tabs>
          <w:tab w:val="left" w:pos="2880"/>
          <w:tab w:val="left" w:pos="3040"/>
        </w:tabs>
        <w:spacing w:after="100" w:line="288" w:lineRule="exact"/>
        <w:ind w:firstLine="857"/>
        <w:jc w:val="both"/>
      </w:pPr>
      <w:r>
        <w:tab/>
      </w:r>
      <w:r>
        <w:tab/>
        <w:t>Recai AKYEL</w:t>
      </w:r>
    </w:p>
    <w:p w:rsidR="00E8404A" w:rsidRDefault="00E8404A">
      <w:pPr>
        <w:spacing w:after="100" w:line="288" w:lineRule="exact"/>
        <w:ind w:firstLine="857"/>
        <w:jc w:val="both"/>
      </w:pPr>
      <w:r>
        <w:rPr>
          <w:b/>
        </w:rPr>
        <w:t xml:space="preserve">Raportör </w:t>
      </w:r>
      <w:r w:rsidR="00C56D2F">
        <w:rPr>
          <w:b/>
        </w:rPr>
        <w:tab/>
      </w:r>
      <w:r>
        <w:rPr>
          <w:b/>
        </w:rPr>
        <w:t xml:space="preserve">: </w:t>
      </w:r>
      <w:proofErr w:type="spellStart"/>
      <w:r>
        <w:t>Heysem</w:t>
      </w:r>
      <w:proofErr w:type="spellEnd"/>
      <w:r>
        <w:t xml:space="preserve"> KOCAÇİNAR</w:t>
      </w:r>
    </w:p>
    <w:p w:rsidR="00E8404A" w:rsidRDefault="00E8404A">
      <w:pPr>
        <w:pStyle w:val="edf1450278888505"/>
        <w:spacing w:after="100" w:line="288" w:lineRule="exact"/>
        <w:ind w:firstLine="857"/>
        <w:jc w:val="both"/>
      </w:pPr>
      <w:r>
        <w:rPr>
          <w:b/>
        </w:rPr>
        <w:t>Başvurucular</w:t>
      </w:r>
      <w:r>
        <w:tab/>
      </w:r>
      <w:r>
        <w:rPr>
          <w:b/>
        </w:rPr>
        <w:t xml:space="preserve">: </w:t>
      </w:r>
      <w:r>
        <w:t>Hava SİPAHİOĞLU ve diğerleri [bkz. ekli (1) numaralı tablo]</w:t>
      </w:r>
    </w:p>
    <w:p w:rsidR="00E8404A" w:rsidRDefault="00E8404A">
      <w:pPr>
        <w:pStyle w:val="edf1450278888505"/>
        <w:tabs>
          <w:tab w:val="left" w:pos="2880"/>
        </w:tabs>
        <w:spacing w:after="100" w:line="288" w:lineRule="exact"/>
        <w:ind w:firstLine="857"/>
        <w:jc w:val="both"/>
      </w:pPr>
      <w:r>
        <w:rPr>
          <w:b/>
        </w:rPr>
        <w:t>Vekili</w:t>
      </w:r>
      <w:r>
        <w:tab/>
      </w:r>
      <w:r>
        <w:rPr>
          <w:b/>
        </w:rPr>
        <w:t xml:space="preserve">: </w:t>
      </w:r>
      <w:r>
        <w:t>Av. Seçkin ATAR</w:t>
      </w:r>
    </w:p>
    <w:p w:rsidR="00E8404A" w:rsidRDefault="00E8404A">
      <w:pPr>
        <w:pStyle w:val="edf1393440552765"/>
        <w:tabs>
          <w:tab w:val="left" w:pos="1300"/>
        </w:tabs>
        <w:spacing w:line="288" w:lineRule="exact"/>
        <w:ind w:firstLine="857"/>
        <w:jc w:val="both"/>
      </w:pPr>
    </w:p>
    <w:p w:rsidR="00E8404A" w:rsidRDefault="00E8404A">
      <w:pPr>
        <w:tabs>
          <w:tab w:val="left" w:pos="1280"/>
        </w:tabs>
        <w:spacing w:line="288" w:lineRule="exact"/>
        <w:ind w:firstLine="857"/>
        <w:jc w:val="both"/>
        <w:rPr>
          <w:b/>
        </w:rPr>
      </w:pPr>
      <w:r>
        <w:rPr>
          <w:b/>
        </w:rPr>
        <w:t>I.</w:t>
      </w:r>
      <w:r>
        <w:tab/>
      </w:r>
      <w:r>
        <w:rPr>
          <w:b/>
        </w:rPr>
        <w:t>BAŞVURUNUN KONUSU</w:t>
      </w:r>
    </w:p>
    <w:p w:rsidR="00E8404A" w:rsidRDefault="00E8404A">
      <w:pPr>
        <w:tabs>
          <w:tab w:val="left" w:pos="1280"/>
        </w:tabs>
        <w:spacing w:line="288" w:lineRule="exact"/>
        <w:ind w:firstLine="857"/>
        <w:jc w:val="both"/>
      </w:pPr>
    </w:p>
    <w:p w:rsidR="00E8404A" w:rsidRDefault="00E8404A">
      <w:pPr>
        <w:pStyle w:val="edf1450279197849"/>
        <w:tabs>
          <w:tab w:val="left" w:pos="1280"/>
        </w:tabs>
        <w:spacing w:line="288" w:lineRule="exact"/>
        <w:ind w:firstLine="857"/>
        <w:jc w:val="both"/>
      </w:pPr>
      <w:r>
        <w:t>1.</w:t>
      </w:r>
      <w:r>
        <w:tab/>
        <w:t>Başvuru, başvuruculara ait taşınmazların imar planında kamu hizmeti alanına ayrılması nedeniyle mülkiyet hakkının ihlal edildiği iddiasına ilişkindir.</w:t>
      </w:r>
    </w:p>
    <w:p w:rsidR="00E8404A" w:rsidRDefault="00E8404A">
      <w:pPr>
        <w:pStyle w:val="edf1450279197849"/>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II.</w:t>
      </w:r>
      <w:r>
        <w:tab/>
      </w:r>
      <w:r>
        <w:rPr>
          <w:b/>
        </w:rPr>
        <w:t>BAŞVURU SÜRECİ</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w:t>
      </w:r>
      <w:r>
        <w:tab/>
        <w:t xml:space="preserve">Başvurular </w:t>
      </w:r>
      <w:proofErr w:type="gramStart"/>
      <w:r>
        <w:t>23/2/2016</w:t>
      </w:r>
      <w:proofErr w:type="gramEnd"/>
      <w:r>
        <w:t xml:space="preserve"> tarihinde yapılmıştır.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3.</w:t>
      </w:r>
      <w:r>
        <w:tab/>
        <w:t>Başvurular, başvuru formu ve eklerinin idari yönden yapılan ön incelemesinden sonra Komisyona sunulmuştur.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w:t>
      </w:r>
      <w:r>
        <w:tab/>
        <w:t>Komisyonca başvuruların kabul edilebilirlik incelemesinin Bölüm tarafından yapılmasına karar verilmiştir.</w:t>
      </w:r>
    </w:p>
    <w:p w:rsidR="00E8404A" w:rsidRDefault="00E8404A">
      <w:pPr>
        <w:tabs>
          <w:tab w:val="left" w:pos="1280"/>
        </w:tabs>
        <w:spacing w:line="288" w:lineRule="exact"/>
        <w:ind w:firstLine="857"/>
        <w:jc w:val="both"/>
      </w:pPr>
    </w:p>
    <w:p w:rsidR="00E8404A" w:rsidRDefault="00E8404A">
      <w:pPr>
        <w:pStyle w:val="edf1450279197849"/>
        <w:tabs>
          <w:tab w:val="left" w:pos="1260"/>
          <w:tab w:val="left" w:pos="1300"/>
        </w:tabs>
        <w:spacing w:line="288" w:lineRule="exact"/>
        <w:ind w:firstLine="850"/>
        <w:jc w:val="both"/>
      </w:pPr>
      <w:r>
        <w:t>5.</w:t>
      </w:r>
      <w:r>
        <w:tab/>
        <w:t>2016/4317, 2016/4318, 2016/4319, 2016/4320, 2016/4321, 2016/4322, 2016/4323, 2016/4324 ve 2016/4326 numaralı bireysel başvuru dosyalarının aralarındaki hukuki bağlantı nedeniyle 2016/4317 numaralı bireysel başvuru dosyası ile birleştirilmesine; incelemenin 2016/4317 başvuru numaralı bireysel başvuru dosyası üzerinden yürütülmesine karar verilmiştir.</w:t>
      </w:r>
    </w:p>
    <w:p w:rsidR="00E8404A" w:rsidRDefault="00E8404A">
      <w:pPr>
        <w:pStyle w:val="edf1450279197849"/>
        <w:tabs>
          <w:tab w:val="left" w:pos="1260"/>
          <w:tab w:val="left" w:pos="1300"/>
        </w:tabs>
        <w:spacing w:line="288" w:lineRule="exact"/>
        <w:ind w:firstLine="850"/>
        <w:jc w:val="both"/>
        <w:rPr>
          <w:sz w:val="20"/>
        </w:rPr>
      </w:pPr>
    </w:p>
    <w:p w:rsidR="00E8404A" w:rsidRDefault="00E8404A">
      <w:pPr>
        <w:tabs>
          <w:tab w:val="left" w:pos="1280"/>
        </w:tabs>
        <w:spacing w:line="288" w:lineRule="exact"/>
        <w:ind w:firstLine="857"/>
        <w:jc w:val="both"/>
      </w:pPr>
      <w:r>
        <w:t>6.</w:t>
      </w:r>
      <w:r>
        <w:tab/>
        <w:t>Bölüm Başkanı tarafından başvurunun kabul edilebilirlik ve esas incelemesinin birlikte yapılmasına karar verilmiştir.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7.</w:t>
      </w:r>
      <w:r>
        <w:tab/>
        <w:t>Başvuru belgelerinin bir örneği bilgi için Adalet Bakanlığına (Bakanlık) gönderilmiştir. Bakanlık, görüş bildirmemiştir.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III.</w:t>
      </w:r>
      <w:r>
        <w:tab/>
      </w:r>
      <w:r>
        <w:rPr>
          <w:b/>
        </w:rPr>
        <w:t>OLAY VE OLGULAR</w:t>
      </w:r>
    </w:p>
    <w:p w:rsidR="00E8404A" w:rsidRDefault="00E8404A">
      <w:pPr>
        <w:tabs>
          <w:tab w:val="left" w:pos="1280"/>
        </w:tabs>
        <w:spacing w:line="288" w:lineRule="exact"/>
        <w:ind w:firstLine="857"/>
        <w:jc w:val="both"/>
        <w:rPr>
          <w:b/>
          <w:sz w:val="20"/>
        </w:rPr>
      </w:pPr>
    </w:p>
    <w:p w:rsidR="00E8404A" w:rsidRDefault="00E8404A">
      <w:pPr>
        <w:tabs>
          <w:tab w:val="left" w:pos="1280"/>
        </w:tabs>
        <w:spacing w:line="288" w:lineRule="exact"/>
        <w:ind w:firstLine="857"/>
        <w:jc w:val="both"/>
      </w:pPr>
      <w:r>
        <w:t>8.</w:t>
      </w:r>
      <w:r>
        <w:tab/>
        <w:t>Başvuru formu ve eklerinde ifade edildiği şekliyle ilgili olaylar özetle şöyledir:</w:t>
      </w:r>
    </w:p>
    <w:p w:rsidR="00C56D2F" w:rsidRDefault="00C56D2F">
      <w:pPr>
        <w:tabs>
          <w:tab w:val="left" w:pos="1280"/>
        </w:tabs>
        <w:spacing w:line="288" w:lineRule="exact"/>
        <w:ind w:firstLine="857"/>
        <w:jc w:val="both"/>
      </w:pPr>
    </w:p>
    <w:p w:rsidR="00E8404A" w:rsidRDefault="00E8404A">
      <w:pPr>
        <w:tabs>
          <w:tab w:val="left" w:pos="1280"/>
        </w:tabs>
        <w:spacing w:line="288" w:lineRule="exact"/>
        <w:ind w:firstLine="857"/>
        <w:jc w:val="both"/>
      </w:pPr>
      <w:r>
        <w:lastRenderedPageBreak/>
        <w:t>9.</w:t>
      </w:r>
      <w:r>
        <w:tab/>
        <w:t xml:space="preserve">Başvurucuların maliki oldukları başvuruya konu Zonguldak ili Alaplı ilçesi </w:t>
      </w:r>
      <w:proofErr w:type="spellStart"/>
      <w:r>
        <w:t>Aşağıdoğancılar</w:t>
      </w:r>
      <w:proofErr w:type="spellEnd"/>
      <w:r>
        <w:t xml:space="preserve"> köyü, </w:t>
      </w:r>
      <w:proofErr w:type="spellStart"/>
      <w:r>
        <w:t>Örenci</w:t>
      </w:r>
      <w:proofErr w:type="spellEnd"/>
      <w:r>
        <w:t xml:space="preserve"> mevkii 132 ada 17, 19, 20, 21, 25, 31, 32, 35, 38, 43 ve 44 sayılı parseller 1986 yılında yapılan 1/1000 ölçekli uygulama imar planıyla</w:t>
      </w:r>
      <w:r>
        <w:rPr>
          <w:i/>
          <w:iCs/>
        </w:rPr>
        <w:t xml:space="preserve"> </w:t>
      </w:r>
      <w:proofErr w:type="gramStart"/>
      <w:r>
        <w:rPr>
          <w:i/>
          <w:iCs/>
        </w:rPr>
        <w:t>yüksek öğretim</w:t>
      </w:r>
      <w:proofErr w:type="gramEnd"/>
      <w:r>
        <w:rPr>
          <w:i/>
          <w:iCs/>
        </w:rPr>
        <w:t xml:space="preserve"> tesis alanı </w:t>
      </w:r>
      <w:r>
        <w:t>vasfıyla kamu hizmeti alanına ayrılmıştır.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10.</w:t>
      </w:r>
      <w:r>
        <w:tab/>
        <w:t>Başvurucular, imar planındaki bu vasfa rağmen taşınmazların kamulaştırılmaması üzerine Alaplı Asliye Hukuk Mahkemesinde ayrı ayrı kamulaştırmasız el atma nedenine dayalı tazminat davası açmışlardır.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11.</w:t>
      </w:r>
      <w:r>
        <w:tab/>
        <w:t>Alaplı Asliye Hukuk Mahkemesi, farklı tarihlerde davaların kabulüne karar vermiş ve başvurucular lehine tazminata hükmetmiştir.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12.</w:t>
      </w:r>
      <w:r>
        <w:tab/>
        <w:t xml:space="preserve">Temyiz üzerine Yargıtay 5. Hukuk Dairesi </w:t>
      </w:r>
      <w:proofErr w:type="gramStart"/>
      <w:r>
        <w:t>25/11/2013</w:t>
      </w:r>
      <w:proofErr w:type="gramEnd"/>
      <w:r>
        <w:t xml:space="preserve"> tarihinde ilk derece mahkemesi kararlarını bozmuştur. Bozma kararlarının gerekçesinde </w:t>
      </w:r>
      <w:proofErr w:type="gramStart"/>
      <w:r>
        <w:t>4/11/1983</w:t>
      </w:r>
      <w:proofErr w:type="gramEnd"/>
      <w:r>
        <w:t xml:space="preserve"> tarihli ve 2942 sayılı Kamulaştırma Kanunu'nun ek 1. maddesinde yapılan değişiklik nedeniyle fiilî olarak el atılmayan taşınmazlara yönelik kamulaştırmasız el atma nedenine dayalı tazminat davalarında görevli yargı yolunun</w:t>
      </w:r>
      <w:r>
        <w:rPr>
          <w:i/>
          <w:iCs/>
        </w:rPr>
        <w:t xml:space="preserve"> idari yargı yolu </w:t>
      </w:r>
      <w:r>
        <w:t>olduğu vurgulanmıştır. İlk derece mahkemesince bozma kararına uyularak farklı tarihlerde dava dilekçesinin görev yönünden reddine karar verilmiştir.</w:t>
      </w:r>
    </w:p>
    <w:p w:rsidR="00E8404A" w:rsidRDefault="00E8404A">
      <w:pPr>
        <w:tabs>
          <w:tab w:val="left" w:pos="1280"/>
        </w:tabs>
        <w:spacing w:line="288" w:lineRule="exact"/>
        <w:ind w:firstLine="857"/>
        <w:jc w:val="both"/>
      </w:pPr>
    </w:p>
    <w:p w:rsidR="00E8404A" w:rsidRDefault="00E8404A">
      <w:pPr>
        <w:tabs>
          <w:tab w:val="left" w:pos="1260"/>
          <w:tab w:val="left" w:pos="1280"/>
        </w:tabs>
        <w:spacing w:line="288" w:lineRule="exact"/>
        <w:ind w:firstLine="857"/>
        <w:jc w:val="both"/>
      </w:pPr>
      <w:r>
        <w:t>13.</w:t>
      </w:r>
      <w:r>
        <w:tab/>
        <w:t>Başvurucular, idari yargı mercilerinin görevli olduğunun tespiti üzerine bu kez Zonguldak İdare Mahkemesinde (Mahkeme) ayrı ayrı maddi tazminat istemiyle idare aleyhine tam yargı davası açmışlardır.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14.</w:t>
      </w:r>
      <w:r>
        <w:tab/>
        <w:t xml:space="preserve">Mahkeme </w:t>
      </w:r>
      <w:proofErr w:type="gramStart"/>
      <w:r>
        <w:t>11/6/2015</w:t>
      </w:r>
      <w:proofErr w:type="gramEnd"/>
      <w:r>
        <w:t>, 19/6/2015 ve 25/6/2015 tarihli kararlar ile davaların reddine karar vermiştir. Anılan benzer mahiyetteki kararlarda, imar kısıtlılığı nedeniyle kamulaştırmasız el atmaya dayalı tazminat davası açılabilmesi için idarenin kamulaştırma iradesinin devam etmesi gerektiğine işaret edilmiştir. Mahkemeye göre somut olaylar itibarıyla davalı idarenin dava tarihine kadar taşınmazlara ilişkin fiilî veya hukuki bir tasarrufunun söz konusu olmaması ve bu süreç içinde taşınmazların</w:t>
      </w:r>
      <w:r>
        <w:rPr>
          <w:i/>
          <w:iCs/>
        </w:rPr>
        <w:t xml:space="preserve"> </w:t>
      </w:r>
      <w:proofErr w:type="gramStart"/>
      <w:r>
        <w:rPr>
          <w:i/>
          <w:iCs/>
        </w:rPr>
        <w:t>yüksek öğretim</w:t>
      </w:r>
      <w:proofErr w:type="gramEnd"/>
      <w:r>
        <w:rPr>
          <w:i/>
          <w:iCs/>
        </w:rPr>
        <w:t xml:space="preserve"> tesis alanı </w:t>
      </w:r>
      <w:r>
        <w:t xml:space="preserve">vasfının değiştirilmesi için Belediye Başkanlığına birçok kez müracaat etmesi kamulaştırmadan vazgeçme yönündeki iradesine delalet etmektedir. Mahkeme, bu saptamadan hareketle kamulaştırma iradesi bulunmaması nedeniyle tazminat ödenemeyeceği ve ayrıca başvurucuların imar durumunun değiştirilmesi amacıyla Belediye Başkanlığına müracaatta bulunabileceği kanaatindedir. </w:t>
      </w:r>
    </w:p>
    <w:p w:rsidR="00E8404A" w:rsidRDefault="00E8404A">
      <w:pPr>
        <w:tabs>
          <w:tab w:val="left" w:pos="1240"/>
          <w:tab w:val="left" w:pos="1280"/>
        </w:tabs>
        <w:spacing w:line="288" w:lineRule="exact"/>
        <w:ind w:firstLine="857"/>
        <w:jc w:val="both"/>
      </w:pPr>
    </w:p>
    <w:p w:rsidR="00E8404A" w:rsidRDefault="00E8404A">
      <w:pPr>
        <w:tabs>
          <w:tab w:val="left" w:pos="1280"/>
        </w:tabs>
        <w:spacing w:line="288" w:lineRule="exact"/>
        <w:ind w:firstLine="857"/>
        <w:jc w:val="both"/>
      </w:pPr>
      <w:r>
        <w:t>15.</w:t>
      </w:r>
      <w:r>
        <w:tab/>
        <w:t xml:space="preserve">Başvurucular verilen kararlara itiraz etmiş, Zonguldak Bölge İdare Mahkemesi </w:t>
      </w:r>
      <w:proofErr w:type="gramStart"/>
      <w:r>
        <w:t>6/11/2015</w:t>
      </w:r>
      <w:proofErr w:type="gramEnd"/>
      <w:r>
        <w:t xml:space="preserve"> tarihinde itirazları reddetmiştir. Aynı Bölge İdare Mahkemesinin </w:t>
      </w:r>
      <w:proofErr w:type="gramStart"/>
      <w:r>
        <w:t>14/1/2016</w:t>
      </w:r>
      <w:proofErr w:type="gramEnd"/>
      <w:r>
        <w:t xml:space="preserve"> ve 21/1/2016 tarihli kararlarıyla başvurucuların karar düzeltme isteminin de reddedilmesi üzerine hükümler kesinleşmiştir.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16.</w:t>
      </w:r>
      <w:r>
        <w:tab/>
        <w:t xml:space="preserve">Nihai kararlar </w:t>
      </w:r>
      <w:proofErr w:type="gramStart"/>
      <w:r>
        <w:t>25/1/2016</w:t>
      </w:r>
      <w:proofErr w:type="gramEnd"/>
      <w:r>
        <w:t xml:space="preserve"> tarihinde başvurucular vekiline tebliğ edilmiştir. </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17.</w:t>
      </w:r>
      <w:r>
        <w:tab/>
        <w:t xml:space="preserve">Başvurucular, nihai kararın tebliği üzerine </w:t>
      </w:r>
      <w:proofErr w:type="gramStart"/>
      <w:r>
        <w:t>23/2/2016</w:t>
      </w:r>
      <w:proofErr w:type="gramEnd"/>
      <w:r>
        <w:t xml:space="preserve"> tarihinde bireysel başvuruda bulunmuşlardır. </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IV.</w:t>
      </w:r>
      <w:r>
        <w:tab/>
      </w:r>
      <w:r>
        <w:rPr>
          <w:b/>
        </w:rPr>
        <w:t>İLGİLİ HUKUK</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18.</w:t>
      </w:r>
      <w:r>
        <w:tab/>
        <w:t xml:space="preserve"> Konu ile ilgili hukuk için bkz. </w:t>
      </w:r>
      <w:r>
        <w:rPr>
          <w:i/>
          <w:iCs/>
        </w:rPr>
        <w:t xml:space="preserve">Hüseyin Ünal </w:t>
      </w:r>
      <w:r>
        <w:t xml:space="preserve">(B. No: 2017/24715, </w:t>
      </w:r>
      <w:proofErr w:type="gramStart"/>
      <w:r>
        <w:t>20/9/2018</w:t>
      </w:r>
      <w:proofErr w:type="gramEnd"/>
      <w:r>
        <w:t>, §§ 17-29) başvurusu hakkında verilen karar.</w:t>
      </w:r>
    </w:p>
    <w:p w:rsidR="00C56D2F" w:rsidRDefault="00C56D2F">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lastRenderedPageBreak/>
        <w:t>V.</w:t>
      </w:r>
      <w:r>
        <w:tab/>
      </w:r>
      <w:r>
        <w:rPr>
          <w:b/>
        </w:rPr>
        <w:t>İNCELEME VE GEREKÇE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19.</w:t>
      </w:r>
      <w:r>
        <w:tab/>
        <w:t xml:space="preserve">Mahkemenin </w:t>
      </w:r>
      <w:proofErr w:type="gramStart"/>
      <w:r>
        <w:t>12/11/2019</w:t>
      </w:r>
      <w:proofErr w:type="gramEnd"/>
      <w:r>
        <w:t xml:space="preserve"> tarihinde yapmış olduğu toplantıda başvuru incelenip gereği düşünüldü:</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A.</w:t>
      </w:r>
      <w:r>
        <w:tab/>
      </w:r>
      <w:r>
        <w:rPr>
          <w:b/>
        </w:rPr>
        <w:t xml:space="preserve">Başvuruculardan Şaban Ergene, Hüseyin Aydın, </w:t>
      </w:r>
      <w:proofErr w:type="spellStart"/>
      <w:r>
        <w:rPr>
          <w:b/>
        </w:rPr>
        <w:t>Nezahat</w:t>
      </w:r>
      <w:proofErr w:type="spellEnd"/>
      <w:r>
        <w:rPr>
          <w:b/>
        </w:rPr>
        <w:t xml:space="preserve"> </w:t>
      </w:r>
      <w:proofErr w:type="spellStart"/>
      <w:r>
        <w:rPr>
          <w:b/>
        </w:rPr>
        <w:t>Aygör</w:t>
      </w:r>
      <w:proofErr w:type="spellEnd"/>
      <w:r>
        <w:rPr>
          <w:b/>
        </w:rPr>
        <w:t xml:space="preserve">, Nuriye </w:t>
      </w:r>
      <w:proofErr w:type="spellStart"/>
      <w:r>
        <w:rPr>
          <w:b/>
        </w:rPr>
        <w:t>Yazkurt</w:t>
      </w:r>
      <w:proofErr w:type="spellEnd"/>
      <w:r>
        <w:rPr>
          <w:b/>
        </w:rPr>
        <w:t xml:space="preserve"> ve Ümmiye Güllü Yönünden</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20.</w:t>
      </w:r>
      <w:r>
        <w:tab/>
      </w:r>
      <w:proofErr w:type="gramStart"/>
      <w:r>
        <w:t>30/3/2011</w:t>
      </w:r>
      <w:proofErr w:type="gramEnd"/>
      <w:r>
        <w:t xml:space="preserve"> tarihli ve 6216 sayılı Anayasa Mahkemesinin Kuruluşu ve Yargılama Usulleri Hakkında Kanun'un 51. maddesi ile Anayasa Mahkemesi </w:t>
      </w:r>
      <w:proofErr w:type="spellStart"/>
      <w:r>
        <w:t>İçtüzüğü'nün</w:t>
      </w:r>
      <w:proofErr w:type="spellEnd"/>
      <w:r>
        <w:t xml:space="preserve"> (İçtüzük) 83. maddesi gereği başvurucunun istismar edici, yanıltıcı ve benzeri nitelikteki davranışlarıyla bireysel başvuru hakkını açıkça kötüye kullandığının tespit edilmesi hâlinde başvuru reddedilir ve ilgilinin</w:t>
      </w:r>
      <w:r>
        <w:rPr>
          <w:color w:val="FD0000"/>
        </w:rPr>
        <w:t xml:space="preserve"> </w:t>
      </w:r>
      <w:r>
        <w:t>yargılama giderleri dışında 2.000 Türk lirasından fazla olmamak üzere disiplin para cezasıyla cezalandırılmasına karar verilir.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21.</w:t>
      </w:r>
      <w:r>
        <w:tab/>
        <w:t>Genel hukuk teorisinde bir kamu düzeni kuralı olarak ele alınan ve genel olarak bir hakkın açıkça öngörüldüğü amaç dışında ve başkalarını zarara sokacak şekilde kullanılmasının hukuk düzenince himaye edilmeyeceğini ifade eden hakkın kötüye kullanılmasının yukarıda belirtilen düzenlemelerle bireysel başvuru alanında özel olarak ele alındığı görülmektedir. Bu bağlamda bireysel başvuru usulünün amacına açıkça aykırı olan ve Anayasa Mahkemesinin başvuruyu gereği gibi değerlendirmesini engelleyen davranışların başvuru hakkının kötüye kullanılması olarak değerlendirilmesi mümkündür (</w:t>
      </w:r>
      <w:r>
        <w:rPr>
          <w:i/>
          <w:iCs/>
        </w:rPr>
        <w:t>S.Ö</w:t>
      </w:r>
      <w:proofErr w:type="gramStart"/>
      <w:r>
        <w:rPr>
          <w:i/>
          <w:iCs/>
        </w:rPr>
        <w:t>.</w:t>
      </w:r>
      <w:r>
        <w:t>,</w:t>
      </w:r>
      <w:proofErr w:type="gramEnd"/>
      <w:r>
        <w:t xml:space="preserve"> B. No: 2013/7087, 18/9/2014, § 28).</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22.</w:t>
      </w:r>
      <w:r>
        <w:tab/>
        <w:t>Bu kapsamda özellikle Anayasa Mahkemesini yanıltmak amacıyla gerçek olmayan maddi vakıalara dayanılması veya Anayasa Mahkemesine bu nitelikte bilgi ve belge sunulması, başvurunun değerlendirilmesi noktasında esaslı olan bir unsur hakkında bilgi verilmemesi, başvurunun değerlendirilmesi sürecinde vuku bulan ve söz konusu değerlendirmeyi etkileyecek nitelikteki yeni ve önemli gelişmeler hakkında Anayasa Mahkemesinin bilgilendirilmemesi suretiyle başvuru hakkında doğru bir kanaat oluşturulmasının engellenmesi, medeni ve meşru eleştiri sınırları saklı kalmak kaydıyla bireysel başvuru amacıyla bağdaşmayacak surette hakaret, tehdit veya tahrik edici bir üslup kullanılması ile söz konusu başvuru yolu kapsamında ihlalin tespiti ile ihlal ve sonuçlarının ortadan kaldırılmasına ilişkin amaçla bağdaşmayacak surette içeriksiz bir başvuruda bulunulması durumunda başvuru hakkının kötüye kullanıldığı kabul edilebilecektir (</w:t>
      </w:r>
      <w:r>
        <w:rPr>
          <w:i/>
          <w:iCs/>
        </w:rPr>
        <w:t>S.Ö</w:t>
      </w:r>
      <w:proofErr w:type="gramStart"/>
      <w:r>
        <w:t>.,</w:t>
      </w:r>
      <w:proofErr w:type="gramEnd"/>
      <w:r>
        <w:t xml:space="preserve"> § 29; </w:t>
      </w:r>
      <w:r>
        <w:rPr>
          <w:i/>
          <w:iCs/>
        </w:rPr>
        <w:t xml:space="preserve">Mehmet Güven Ulusoy </w:t>
      </w:r>
      <w:r>
        <w:t xml:space="preserve">[GK], B. No: 2013/1013, 2/7/2015; </w:t>
      </w:r>
      <w:r>
        <w:rPr>
          <w:i/>
          <w:iCs/>
        </w:rPr>
        <w:t>Osman Sandıkçı</w:t>
      </w:r>
      <w:r>
        <w:t xml:space="preserve">, B. No: 2013/6297, 10/3/2016; </w:t>
      </w:r>
      <w:r>
        <w:rPr>
          <w:i/>
          <w:iCs/>
        </w:rPr>
        <w:t>Selman Kapan ve diğerleri</w:t>
      </w:r>
      <w:r>
        <w:t>, B. No: 2013/7302, 20/4/2016).</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23.</w:t>
      </w:r>
      <w:r>
        <w:tab/>
        <w:t xml:space="preserve">Merkezî Nüfus İdaresi Sistemi'nden yapılan sorgulama neticesinde başvuruculardan Şaban Ergene'nin bireysel başvuru tarihinden önce </w:t>
      </w:r>
      <w:proofErr w:type="gramStart"/>
      <w:r>
        <w:t>10/12/2014</w:t>
      </w:r>
      <w:proofErr w:type="gramEnd"/>
      <w:r>
        <w:t xml:space="preserve"> tarihinde; Hüseyin Aydın'ın bireysel başvuru tarihinden önce 31/10/2015 tarihinde; </w:t>
      </w:r>
      <w:proofErr w:type="spellStart"/>
      <w:r>
        <w:t>Nezahat</w:t>
      </w:r>
      <w:proofErr w:type="spellEnd"/>
      <w:r>
        <w:t xml:space="preserve"> </w:t>
      </w:r>
      <w:proofErr w:type="spellStart"/>
      <w:r>
        <w:t>Aygör'ün</w:t>
      </w:r>
      <w:proofErr w:type="spellEnd"/>
      <w:r>
        <w:t xml:space="preserve"> bireysel başvuru tarihinden önce 18/9/2013 tarihinde; Nuriye </w:t>
      </w:r>
      <w:proofErr w:type="spellStart"/>
      <w:r>
        <w:t>Yazkurt'un</w:t>
      </w:r>
      <w:proofErr w:type="spellEnd"/>
      <w:r>
        <w:t xml:space="preserve"> bireysel başvuru tarihinden önce 9/12/2011 tarihinde; Ümmiye </w:t>
      </w:r>
      <w:proofErr w:type="spellStart"/>
      <w:r>
        <w:t>Güllü'nün</w:t>
      </w:r>
      <w:proofErr w:type="spellEnd"/>
      <w:r>
        <w:t xml:space="preserve"> bireysel başvuru tarihinden önce 25/12/2013 tarihinde öldükleri tespit edilmiş ancak Av. Seçkin Atar tarafından başvurucunun anayasal haklarının ihlal edildiğinden bahisle verilen 23/2/2016 tarihli başvuru formunda başvurucuların öldükleri konusunda bir bilgiye yer verilmeden bireysel başvuru yapıldığı anlaşılmıştır.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24.</w:t>
      </w:r>
      <w:r>
        <w:tab/>
        <w:t xml:space="preserve">Kamu gücü tarafından hakkı ihlal edilen kişinin bireysel başvuru yapmadan önce ölmesi durumunda ölen kişi adına bir başkası tarafından bireysel başvuru yapma imkânı </w:t>
      </w:r>
      <w:r>
        <w:lastRenderedPageBreak/>
        <w:t>bulunmamaktadır (</w:t>
      </w:r>
      <w:proofErr w:type="spellStart"/>
      <w:r>
        <w:rPr>
          <w:i/>
          <w:iCs/>
        </w:rPr>
        <w:t>Abdurrehman</w:t>
      </w:r>
      <w:proofErr w:type="spellEnd"/>
      <w:r>
        <w:rPr>
          <w:i/>
          <w:iCs/>
        </w:rPr>
        <w:t xml:space="preserve"> Uray</w:t>
      </w:r>
      <w:r>
        <w:t xml:space="preserve">, B. No: 2013/6140, </w:t>
      </w:r>
      <w:proofErr w:type="gramStart"/>
      <w:r>
        <w:t>5/11/2014</w:t>
      </w:r>
      <w:proofErr w:type="gramEnd"/>
      <w:r>
        <w:t>, § 30).</w:t>
      </w:r>
    </w:p>
    <w:p w:rsidR="00E8404A" w:rsidRDefault="00E8404A">
      <w:pPr>
        <w:tabs>
          <w:tab w:val="left" w:pos="1280"/>
        </w:tabs>
        <w:spacing w:line="288" w:lineRule="exact"/>
        <w:ind w:firstLine="857"/>
        <w:jc w:val="both"/>
      </w:pPr>
      <w:r>
        <w:t>25.</w:t>
      </w:r>
      <w:r>
        <w:tab/>
        <w:t xml:space="preserve">Açıklanan gerekçelerle başvuru tarihinden önce vefat etmiş olan başvurucular adına vekâlet ilişkisi sona ermiş bulunan avukat tarafından yapılan bireysel başvurunun </w:t>
      </w:r>
      <w:r>
        <w:rPr>
          <w:i/>
          <w:iCs/>
        </w:rPr>
        <w:t>başvuru hakkının kötüye kullanımı</w:t>
      </w:r>
      <w:r>
        <w:t xml:space="preserve"> nedeniyle reddine karar verilmesi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26.</w:t>
      </w:r>
      <w:r>
        <w:tab/>
        <w:t xml:space="preserve">Bu durumda Av. Seçkin Atar hakkında Anayasa Mahkemesini yanıltıcı nitelikte başvuru yapması nedeniyle 6216 sayılı Kanun'un 51. maddesi ve </w:t>
      </w:r>
      <w:proofErr w:type="spellStart"/>
      <w:r>
        <w:t>İçtüzük’ün</w:t>
      </w:r>
      <w:proofErr w:type="spellEnd"/>
      <w:r>
        <w:t xml:space="preserve"> 83. maddesi uyarınca </w:t>
      </w:r>
      <w:proofErr w:type="spellStart"/>
      <w:r>
        <w:t>takdiren</w:t>
      </w:r>
      <w:proofErr w:type="spellEnd"/>
      <w:r>
        <w:t xml:space="preserve"> 2.000 TL disiplin para cezasına hükmedilmesi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B.</w:t>
      </w:r>
      <w:r>
        <w:tab/>
      </w:r>
      <w:r>
        <w:rPr>
          <w:b/>
        </w:rPr>
        <w:t xml:space="preserve">Başvurucular </w:t>
      </w:r>
      <w:proofErr w:type="gramStart"/>
      <w:r>
        <w:rPr>
          <w:b/>
        </w:rPr>
        <w:t>Adem</w:t>
      </w:r>
      <w:proofErr w:type="gramEnd"/>
      <w:r>
        <w:rPr>
          <w:b/>
        </w:rPr>
        <w:t xml:space="preserve"> </w:t>
      </w:r>
      <w:proofErr w:type="spellStart"/>
      <w:r>
        <w:rPr>
          <w:b/>
        </w:rPr>
        <w:t>Arslancan</w:t>
      </w:r>
      <w:proofErr w:type="spellEnd"/>
      <w:r>
        <w:rPr>
          <w:b/>
        </w:rPr>
        <w:t>, Baki Mudanya, Melahat Şentürk ve Recep Mudanya Yönünden</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27.</w:t>
      </w:r>
      <w:r>
        <w:tab/>
        <w:t xml:space="preserve">Başvurunun incelenmesinin sürdürülmesini haklı kılan bir sebebin olmadığı kanaatine varılması hâlinde başvurunun düşmesine karar verilebilir. Bununla birlikte </w:t>
      </w:r>
      <w:proofErr w:type="spellStart"/>
      <w:r>
        <w:t>İçtüzük'ün</w:t>
      </w:r>
      <w:proofErr w:type="spellEnd"/>
      <w:r>
        <w:t xml:space="preserve"> 80. maddesinin (2) numaralı fıkrası gereği Anayasa'nın uygulanması ve yorumlanması veya temel hakların kapsamının ve sınırlarının belirlenmesi gerektiği ya da insan haklarına saygının gerekli kıldığı hâllerde başvurunun incelenmesine devam edilebileceği öngörülmüştür (</w:t>
      </w:r>
      <w:r>
        <w:rPr>
          <w:i/>
          <w:iCs/>
        </w:rPr>
        <w:t>Bayram Şahin</w:t>
      </w:r>
      <w:r>
        <w:t xml:space="preserve">, B. No: 2013/463, </w:t>
      </w:r>
      <w:proofErr w:type="gramStart"/>
      <w:r>
        <w:t>16/5/2013</w:t>
      </w:r>
      <w:proofErr w:type="gramEnd"/>
      <w:r>
        <w:t>, § 16).</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28.</w:t>
      </w:r>
      <w:r>
        <w:tab/>
        <w:t>Başvuru tarihinden sonra ölen başvurucunun mirasçılarının makul bir süre içinde başvuruyu devam ettirme yönündeki iradelerini Anayasa Mahkemesine bildirmemeleri hâlinde İçtüzük hükümleri uyarınca başvurunun incelenmesinin sürdürülmesini haklı kılan bir sebebin olmadığı kanaatine varılabilir (</w:t>
      </w:r>
      <w:r>
        <w:rPr>
          <w:i/>
          <w:iCs/>
        </w:rPr>
        <w:t>İskender Kaya ve diğerleri</w:t>
      </w:r>
      <w:r>
        <w:t xml:space="preserve">, B. No: 2014/7674, </w:t>
      </w:r>
      <w:proofErr w:type="gramStart"/>
      <w:r>
        <w:t>23/3/2017</w:t>
      </w:r>
      <w:proofErr w:type="gramEnd"/>
      <w:r>
        <w:t>, §§ 18-21).</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29.</w:t>
      </w:r>
      <w:r>
        <w:tab/>
        <w:t xml:space="preserve">Somut olayda başvuruculardan </w:t>
      </w:r>
      <w:proofErr w:type="gramStart"/>
      <w:r>
        <w:t>Adem</w:t>
      </w:r>
      <w:proofErr w:type="gramEnd"/>
      <w:r>
        <w:t xml:space="preserve"> </w:t>
      </w:r>
      <w:proofErr w:type="spellStart"/>
      <w:r>
        <w:t>Arslancan</w:t>
      </w:r>
      <w:proofErr w:type="spellEnd"/>
      <w:r>
        <w:t xml:space="preserve">, Baki Mudanya, Melahat Şentürk ve Recep Mudanya başvuru tarihinden sonra sırasıyla 15/11/2016, 5/7/2019, 19/9/2016 ve 7/4/2018 tarihinde vefat etmiş ancak mirasçıları başvuruya devam etme yönündeki iradelerini makul bir süre içinde bildirmemişlerdir. Somut olayda başvurunun incelenmesine devam etmeyi gerekli kılan ve </w:t>
      </w:r>
      <w:proofErr w:type="spellStart"/>
      <w:r>
        <w:t>İçtüzük'ün</w:t>
      </w:r>
      <w:proofErr w:type="spellEnd"/>
      <w:r>
        <w:t xml:space="preserve"> 80. maddesinin (2) numaralı fıkrasında öngörülen nedenlerden biri de bulunmamaktadır.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30.</w:t>
      </w:r>
      <w:r>
        <w:tab/>
        <w:t xml:space="preserve">Açıklanan gerekçelerle başvurucular </w:t>
      </w:r>
      <w:proofErr w:type="gramStart"/>
      <w:r>
        <w:t>Adem</w:t>
      </w:r>
      <w:proofErr w:type="gramEnd"/>
      <w:r>
        <w:t xml:space="preserve"> </w:t>
      </w:r>
      <w:proofErr w:type="spellStart"/>
      <w:r>
        <w:t>Arslancan</w:t>
      </w:r>
      <w:proofErr w:type="spellEnd"/>
      <w:r>
        <w:t xml:space="preserve">, Baki Mudanya, Melahat Şentürk ve Recep Mudanya başvurusunun </w:t>
      </w:r>
      <w:r>
        <w:rPr>
          <w:i/>
          <w:iCs/>
        </w:rPr>
        <w:t xml:space="preserve">düşmesine </w:t>
      </w:r>
      <w:r>
        <w:t>karar verilmesi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C.</w:t>
      </w:r>
      <w:r>
        <w:tab/>
      </w:r>
      <w:r>
        <w:rPr>
          <w:b/>
        </w:rPr>
        <w:t>Diğer Başvurucular Yönünden</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1.</w:t>
      </w:r>
      <w:r>
        <w:tab/>
      </w:r>
      <w:r>
        <w:rPr>
          <w:b/>
        </w:rPr>
        <w:t>Makul Sürede Yargılanma Hakkının İhlal Edildiğine İlişkin İddia</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31.</w:t>
      </w:r>
      <w:r>
        <w:tab/>
        <w:t>Başvurucular, makul sürede yargılanma hakkının ihlal edildiğini ileri sürmüşlerdir.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32.</w:t>
      </w:r>
      <w:r>
        <w:tab/>
        <w:t xml:space="preserve">Bireysel başvuru sonrasında </w:t>
      </w:r>
      <w:proofErr w:type="gramStart"/>
      <w:r>
        <w:t>25/7/2018</w:t>
      </w:r>
      <w:proofErr w:type="gramEnd"/>
      <w:r>
        <w:t xml:space="preserve"> tarihli ve 7145 sayılı Kanun'un 20. maddesiyle 9/1/2013 tarihli ve 6384 sayılı Avrupa İnsan Hakları Mahkemesine Yapılmış Bazı Başvuruların Tazminat Ödenmek Suretiyle Çözümüne Dair Kanun'a geçici madde eklenmiştir.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proofErr w:type="gramStart"/>
      <w:r>
        <w:t>33.</w:t>
      </w:r>
      <w:r>
        <w:tab/>
        <w:t xml:space="preserve">6384 sayılı Kanun'a eklenen geçici maddeye göre yargılamaların uzun sürmesi ve yargı kararlarının geç veya eksik icra edilmesi ya da icra edilmemesi şikâyetiyle Anayasa Mahkemesine yapılan ve bu maddenin yürürlüğe girdiği tarih itibarıyla Anayasa Mahkemesi önünde derdest olan bireysel başvuruların başvuru yollarının tüketilmemesi nedeniyle verilen </w:t>
      </w:r>
      <w:r>
        <w:lastRenderedPageBreak/>
        <w:t>kabul edilemezlik kararının tebliğinden itibaren üç ay içinde yapılacak müracaat üzerine Adalet Bakanlığı İnsan Hakları Tazminat Komisyonu Başkanlığı (Tazminat Komisyon) tarafından incelenmesi öngörülmüştür.</w:t>
      </w:r>
      <w:proofErr w:type="gramEnd"/>
    </w:p>
    <w:p w:rsidR="00E8404A" w:rsidRDefault="00E8404A">
      <w:pPr>
        <w:pStyle w:val="edf1482513817701"/>
        <w:tabs>
          <w:tab w:val="left" w:pos="1280"/>
        </w:tabs>
        <w:spacing w:line="288" w:lineRule="exact"/>
        <w:ind w:firstLine="857"/>
        <w:jc w:val="both"/>
      </w:pPr>
    </w:p>
    <w:p w:rsidR="00E8404A" w:rsidRDefault="00E8404A">
      <w:pPr>
        <w:pStyle w:val="edf1482513817701"/>
        <w:tabs>
          <w:tab w:val="left" w:pos="1280"/>
        </w:tabs>
        <w:spacing w:line="288" w:lineRule="exact"/>
        <w:ind w:firstLine="857"/>
        <w:jc w:val="both"/>
      </w:pPr>
      <w:r>
        <w:t>34.</w:t>
      </w:r>
      <w:r>
        <w:tab/>
      </w:r>
      <w:proofErr w:type="spellStart"/>
      <w:r>
        <w:rPr>
          <w:i/>
          <w:iCs/>
        </w:rPr>
        <w:t>Ferat</w:t>
      </w:r>
      <w:proofErr w:type="spellEnd"/>
      <w:r>
        <w:rPr>
          <w:i/>
          <w:iCs/>
        </w:rPr>
        <w:t xml:space="preserve"> Yüksel</w:t>
      </w:r>
      <w:r>
        <w:t xml:space="preserve"> (B. No: 2014/13828, </w:t>
      </w:r>
      <w:proofErr w:type="gramStart"/>
      <w:r>
        <w:t>12/9/2018</w:t>
      </w:r>
      <w:proofErr w:type="gramEnd"/>
      <w:r>
        <w:t>) kararında Anayasa Mahkemesi yargılamaların makul sürede sonuçlandırılmadığı ya da yargı kararlarının geç veya eksik icra edildiği ya da hiç icra edilmediği iddiasıyla 31/7/2018 tarihinden önce gerçekleştirilen bireysel başvurulara ilişkin olarak Tazminat Komisyonuna başvuru imkânının getirilmesine ilişkin yolu ulaşılabilir olma, başarı şansı sunma ve yeterli giderim sağlama kapasitesinin bulunup bulunmadığı yönlerinden inceleyerek bu yolun etkililiğini tartışmıştır (</w:t>
      </w:r>
      <w:proofErr w:type="spellStart"/>
      <w:r>
        <w:rPr>
          <w:i/>
          <w:iCs/>
        </w:rPr>
        <w:t>Ferat</w:t>
      </w:r>
      <w:proofErr w:type="spellEnd"/>
      <w:r>
        <w:rPr>
          <w:i/>
          <w:iCs/>
        </w:rPr>
        <w:t xml:space="preserve"> Yüksel</w:t>
      </w:r>
      <w:r>
        <w:t>, §§ 26-36).</w:t>
      </w:r>
    </w:p>
    <w:p w:rsidR="00E8404A" w:rsidRDefault="00E8404A">
      <w:pPr>
        <w:pStyle w:val="edf1482513817701"/>
        <w:tabs>
          <w:tab w:val="left" w:pos="1280"/>
        </w:tabs>
        <w:spacing w:line="288" w:lineRule="exact"/>
        <w:ind w:firstLine="857"/>
        <w:jc w:val="both"/>
      </w:pPr>
    </w:p>
    <w:p w:rsidR="00E8404A" w:rsidRDefault="00E8404A">
      <w:pPr>
        <w:pStyle w:val="edf1482513817701"/>
        <w:tabs>
          <w:tab w:val="left" w:pos="1280"/>
        </w:tabs>
        <w:spacing w:line="288" w:lineRule="exact"/>
        <w:ind w:firstLine="857"/>
        <w:jc w:val="both"/>
      </w:pPr>
      <w:proofErr w:type="gramStart"/>
      <w:r>
        <w:t>35.</w:t>
      </w:r>
      <w:r>
        <w:tab/>
      </w:r>
      <w:proofErr w:type="spellStart"/>
      <w:r>
        <w:rPr>
          <w:i/>
          <w:iCs/>
        </w:rPr>
        <w:t>Ferat</w:t>
      </w:r>
      <w:proofErr w:type="spellEnd"/>
      <w:r>
        <w:rPr>
          <w:i/>
          <w:iCs/>
        </w:rPr>
        <w:t xml:space="preserve"> Yüksel</w:t>
      </w:r>
      <w:r>
        <w:t xml:space="preserve"> kararında özetle anılan başvuru yolunun kişileri mali külfet altına sokmaması ve başvuruda kolaylık sağlaması nedenleriyle ulaşılabilir olduğu, düzenleniş şekli itibarıyla ihlal iddialarına makul bir başarı şansı sunma kapasitesinden mahrum olmadığı </w:t>
      </w:r>
      <w:proofErr w:type="spellStart"/>
      <w:r>
        <w:t>vetazminat</w:t>
      </w:r>
      <w:proofErr w:type="spellEnd"/>
      <w:r>
        <w:t xml:space="preserve"> ödenmesine imkân tanıması ve/veya bu mümkün olmadığında başka türlü telafi olanakları sunması nedenleriyle potansiyel olarak yeterli giderim sağlama imkânına sahip olduğu hususunda değerlendirmelerde bulunulmuştur (</w:t>
      </w:r>
      <w:proofErr w:type="spellStart"/>
      <w:r>
        <w:rPr>
          <w:i/>
          <w:iCs/>
        </w:rPr>
        <w:t>Ferat</w:t>
      </w:r>
      <w:proofErr w:type="spellEnd"/>
      <w:r>
        <w:rPr>
          <w:i/>
          <w:iCs/>
        </w:rPr>
        <w:t xml:space="preserve"> Yüksel</w:t>
      </w:r>
      <w:r>
        <w:t xml:space="preserve">, §§ 33-36). Bu gerekçeler doğrultusunda Anayasa Mahkemesi, ilk bakışta ulaşılabilir olan ve ihlal iddialarıyla </w:t>
      </w:r>
      <w:proofErr w:type="spellStart"/>
      <w:r>
        <w:t>ilgilibaşarı</w:t>
      </w:r>
      <w:proofErr w:type="spellEnd"/>
      <w:r>
        <w:t xml:space="preserve"> şansı sunma ve yeterli giderim sağlama kapasitesi olduğu görülen Tazminat Komisyonuna başvuru yolu tüketilmeden yapılan başvurunun incelenmesinin bireysel başvurunun ikincil niteliği ile bağdaşmayacağı sonucuna vararak başvuru yollarının tüketilmemiş olması nedeniyle kabul edilemezlik kararı vermiştir (</w:t>
      </w:r>
      <w:proofErr w:type="spellStart"/>
      <w:r>
        <w:rPr>
          <w:i/>
          <w:iCs/>
        </w:rPr>
        <w:t>Ferat</w:t>
      </w:r>
      <w:proofErr w:type="spellEnd"/>
      <w:r>
        <w:rPr>
          <w:i/>
          <w:iCs/>
        </w:rPr>
        <w:t xml:space="preserve"> Yüksel,</w:t>
      </w:r>
      <w:r>
        <w:t xml:space="preserve"> §§ 35, 36).</w:t>
      </w:r>
      <w:proofErr w:type="gramEnd"/>
    </w:p>
    <w:p w:rsidR="00E8404A" w:rsidRDefault="00E8404A">
      <w:pPr>
        <w:pStyle w:val="edf1482513817701"/>
        <w:tabs>
          <w:tab w:val="left" w:pos="1280"/>
        </w:tabs>
        <w:spacing w:line="288" w:lineRule="exact"/>
        <w:ind w:firstLine="857"/>
        <w:jc w:val="both"/>
      </w:pPr>
    </w:p>
    <w:p w:rsidR="00E8404A" w:rsidRDefault="00E8404A">
      <w:pPr>
        <w:pStyle w:val="edf1482513817701"/>
        <w:tabs>
          <w:tab w:val="left" w:pos="1280"/>
        </w:tabs>
        <w:spacing w:line="288" w:lineRule="exact"/>
        <w:ind w:firstLine="857"/>
        <w:jc w:val="both"/>
      </w:pPr>
      <w:r>
        <w:t>36.</w:t>
      </w:r>
      <w:r>
        <w:tab/>
        <w:t xml:space="preserve">Somut başvuru yönünden de söz konusu karardan ayrılmayı gerektiren bir durum bulunmamaktadır. </w:t>
      </w:r>
    </w:p>
    <w:p w:rsidR="00E8404A" w:rsidRDefault="00E8404A">
      <w:pPr>
        <w:pStyle w:val="edf1482513817701"/>
        <w:tabs>
          <w:tab w:val="left" w:pos="1280"/>
        </w:tabs>
        <w:spacing w:line="288" w:lineRule="exact"/>
        <w:ind w:firstLine="857"/>
        <w:jc w:val="both"/>
      </w:pPr>
    </w:p>
    <w:p w:rsidR="00E8404A" w:rsidRDefault="00E8404A">
      <w:pPr>
        <w:pStyle w:val="edf1482513817701"/>
        <w:tabs>
          <w:tab w:val="left" w:pos="1280"/>
        </w:tabs>
        <w:spacing w:line="288" w:lineRule="exact"/>
        <w:ind w:firstLine="857"/>
        <w:jc w:val="both"/>
      </w:pPr>
      <w:r>
        <w:t>37.</w:t>
      </w:r>
      <w:r>
        <w:tab/>
        <w:t xml:space="preserve">Açıklanan gerekçelerle başvurunun bu kısmının diğer kabul edilebilirlik koşulları yönünden incelenmeksizin </w:t>
      </w:r>
      <w:r>
        <w:rPr>
          <w:i/>
          <w:iCs/>
        </w:rPr>
        <w:t xml:space="preserve">başvuru yollarının tüketilmemesi </w:t>
      </w:r>
      <w:r>
        <w:t>nedeniyle kabul edilemez olduğuna karar verilmesi gerekir.</w:t>
      </w:r>
    </w:p>
    <w:p w:rsidR="00E8404A" w:rsidRDefault="00E8404A">
      <w:pPr>
        <w:pStyle w:val="edf1482513817701"/>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2.</w:t>
      </w:r>
      <w:r>
        <w:tab/>
      </w:r>
      <w:r>
        <w:rPr>
          <w:b/>
        </w:rPr>
        <w:t>Mülkiyet Hakkının İhlal Edildiğine İlişkin İddia</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proofErr w:type="gramStart"/>
      <w:r>
        <w:rPr>
          <w:b/>
        </w:rPr>
        <w:t>a</w:t>
      </w:r>
      <w:proofErr w:type="gramEnd"/>
      <w:r>
        <w:rPr>
          <w:b/>
        </w:rPr>
        <w:t>.</w:t>
      </w:r>
      <w:r>
        <w:tab/>
      </w:r>
      <w:r>
        <w:rPr>
          <w:b/>
        </w:rPr>
        <w:t>Başvurucuların İddiaları</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38.</w:t>
      </w:r>
      <w:r>
        <w:tab/>
        <w:t>Başvurucular; taşınmazların 1986 yılında yapılan imar planında kamu hizmeti alanına ayrılmasının mülkiyet hakkına müdahale teşkil ettiğini, bu müdahale sebebiyle taşınmazlarını diledikleri gibi kullanamadıklarını belirtmişlerdir. Başvurucular, kamu hizmeti alanına ayrılmasına rağmen taşınmazlarının yaklaşık otuz yıldır kamulaştırılmayıp bu yüzden uğradıkları zararların da tazmin edilmemesinin mülkiyet hakkının ihlaline yol açtığını ifade etmişlerdir.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39.</w:t>
      </w:r>
      <w:r>
        <w:tab/>
        <w:t>Diğer taraftan başvurucular, açmış oldukları davalardan bir netice elde edememeleri nedeniyle de mahkemeye erişim hakkının ihlal edildiğinden yakınmışlardır. Başvurucular ayrıca derece mahkemelerinin davanın reddine ilişkin kararlarında tatmin edici bir gerekçe bulunmadığını belirterek gerekçeli karar hakkının ihlal edildiğini ileri sürmüşlerdir.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proofErr w:type="gramStart"/>
      <w:r>
        <w:rPr>
          <w:b/>
        </w:rPr>
        <w:t>b</w:t>
      </w:r>
      <w:proofErr w:type="gramEnd"/>
      <w:r>
        <w:rPr>
          <w:b/>
        </w:rPr>
        <w:t>.</w:t>
      </w:r>
      <w:r>
        <w:tab/>
      </w:r>
      <w:r>
        <w:rPr>
          <w:b/>
        </w:rPr>
        <w:t>Değerlendirme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40.</w:t>
      </w:r>
      <w:r>
        <w:tab/>
        <w:t>Anayasa'nın</w:t>
      </w:r>
      <w:r>
        <w:rPr>
          <w:i/>
          <w:iCs/>
        </w:rPr>
        <w:t xml:space="preserve"> "Mülkiyet hakkı" </w:t>
      </w:r>
      <w:r>
        <w:t>kenar başlıklı 35. maddesi şöyledir:</w:t>
      </w:r>
    </w:p>
    <w:p w:rsidR="00E8404A" w:rsidRDefault="00E8404A">
      <w:pPr>
        <w:tabs>
          <w:tab w:val="left" w:pos="1280"/>
        </w:tabs>
        <w:spacing w:line="288" w:lineRule="exact"/>
        <w:ind w:left="857" w:firstLine="421"/>
        <w:jc w:val="both"/>
      </w:pPr>
    </w:p>
    <w:p w:rsidR="00E8404A" w:rsidRDefault="00E8404A">
      <w:pPr>
        <w:tabs>
          <w:tab w:val="left" w:pos="1280"/>
        </w:tabs>
        <w:spacing w:line="288" w:lineRule="exact"/>
        <w:ind w:left="857" w:firstLine="421"/>
        <w:jc w:val="both"/>
        <w:rPr>
          <w:i/>
          <w:iCs/>
          <w:sz w:val="22"/>
        </w:rPr>
      </w:pPr>
      <w:r>
        <w:rPr>
          <w:i/>
          <w:iCs/>
          <w:sz w:val="22"/>
        </w:rPr>
        <w:lastRenderedPageBreak/>
        <w:t>"Herkes, mülkiyet ve miras haklarına sahiptir.</w:t>
      </w:r>
    </w:p>
    <w:p w:rsidR="00E8404A" w:rsidRDefault="00E8404A">
      <w:pPr>
        <w:tabs>
          <w:tab w:val="left" w:pos="1280"/>
        </w:tabs>
        <w:spacing w:line="288" w:lineRule="exact"/>
        <w:ind w:left="857" w:firstLine="421"/>
        <w:jc w:val="both"/>
      </w:pPr>
    </w:p>
    <w:p w:rsidR="00E8404A" w:rsidRDefault="00E8404A">
      <w:pPr>
        <w:tabs>
          <w:tab w:val="left" w:pos="1280"/>
        </w:tabs>
        <w:spacing w:line="288" w:lineRule="exact"/>
        <w:ind w:left="857" w:firstLine="421"/>
        <w:jc w:val="both"/>
        <w:rPr>
          <w:i/>
          <w:iCs/>
          <w:sz w:val="22"/>
        </w:rPr>
      </w:pPr>
      <w:r>
        <w:rPr>
          <w:i/>
          <w:iCs/>
          <w:sz w:val="22"/>
        </w:rPr>
        <w:t>Bu haklar, ancak kamu yararı amacıyla, kanunla sınırlanabilir.</w:t>
      </w:r>
    </w:p>
    <w:p w:rsidR="00E8404A" w:rsidRDefault="00E8404A">
      <w:pPr>
        <w:tabs>
          <w:tab w:val="left" w:pos="1280"/>
        </w:tabs>
        <w:spacing w:line="288" w:lineRule="exact"/>
        <w:ind w:left="857" w:firstLine="421"/>
        <w:jc w:val="both"/>
      </w:pPr>
    </w:p>
    <w:p w:rsidR="00E8404A" w:rsidRDefault="00E8404A">
      <w:pPr>
        <w:tabs>
          <w:tab w:val="left" w:pos="1280"/>
        </w:tabs>
        <w:spacing w:line="288" w:lineRule="exact"/>
        <w:ind w:left="857" w:firstLine="421"/>
        <w:jc w:val="both"/>
        <w:rPr>
          <w:i/>
          <w:iCs/>
          <w:sz w:val="22"/>
        </w:rPr>
      </w:pPr>
      <w:r>
        <w:rPr>
          <w:i/>
          <w:iCs/>
          <w:sz w:val="22"/>
        </w:rPr>
        <w:t>Mülkiyet hakkının kullanılması toplum yararına aykırı olamaz."</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41.</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 16). Başvurucular, mülkiyet hakkı dışında mahkemeye erişim ve gerekçeli karar haklarının ihlal edildiğinden de yakınmaktadırlar. Ancak başvurucuların asıl şikâyetinin imar uygulamasında kamu hizmeti alanı olarak ayrılması sebebiyle maliki oldukları bu taşınmazlarından diledikleri gibi yararlanamadıklarına ve tasarruf edemediklerine, taşınmazlarını kullanamadıklarına yönelik olduğu anlaşılmaktadır. Bu bağlamda başvurucuların makul sürede yargılanma hakkı dışındaki bütün şikâyetleri mülkiyet hakkının ihlali iddiası kapsamında incelenmiştir.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proofErr w:type="gramStart"/>
      <w:r>
        <w:rPr>
          <w:b/>
        </w:rPr>
        <w:t>i</w:t>
      </w:r>
      <w:proofErr w:type="gramEnd"/>
      <w:r>
        <w:rPr>
          <w:b/>
        </w:rPr>
        <w:t>.</w:t>
      </w:r>
      <w:r>
        <w:tab/>
      </w:r>
      <w:r>
        <w:rPr>
          <w:b/>
        </w:rPr>
        <w:t>Kabul Edilebilirlik Yönünden</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42.</w:t>
      </w:r>
      <w:r>
        <w:tab/>
        <w:t>Açıkça dayanaktan yoksun olmadığı ve kabul edilemezliğine karar verilmesini gerektirecek başka bir neden de bulunmadığı anlaşılan mülkiyet hakkının ihlal edildiğine ilişkin iddianın kabul edilebilir olduğuna karar verilmesi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ii.</w:t>
      </w:r>
      <w:r>
        <w:tab/>
      </w:r>
      <w:r>
        <w:rPr>
          <w:b/>
        </w:rPr>
        <w:t>Esas Yönünden</w:t>
      </w:r>
    </w:p>
    <w:p w:rsidR="00E8404A" w:rsidRDefault="00E8404A">
      <w:pPr>
        <w:tabs>
          <w:tab w:val="left" w:pos="1280"/>
        </w:tabs>
        <w:spacing w:line="288" w:lineRule="exact"/>
        <w:ind w:firstLine="857"/>
        <w:jc w:val="both"/>
      </w:pPr>
    </w:p>
    <w:p w:rsidR="00E8404A" w:rsidRDefault="00E8404A">
      <w:pPr>
        <w:pStyle w:val="edf1450279197849"/>
        <w:tabs>
          <w:tab w:val="left" w:pos="1280"/>
        </w:tabs>
        <w:spacing w:line="288" w:lineRule="exact"/>
        <w:ind w:firstLine="857"/>
        <w:jc w:val="both"/>
        <w:rPr>
          <w:b/>
        </w:rPr>
      </w:pPr>
      <w:r>
        <w:rPr>
          <w:b/>
        </w:rPr>
        <w:t>(1)</w:t>
      </w:r>
      <w:r>
        <w:tab/>
      </w:r>
      <w:r>
        <w:rPr>
          <w:b/>
        </w:rPr>
        <w:t>Mülkün Varlığı</w:t>
      </w:r>
    </w:p>
    <w:p w:rsidR="00E8404A" w:rsidRDefault="00E8404A">
      <w:pPr>
        <w:pStyle w:val="edf1464250365882"/>
        <w:tabs>
          <w:tab w:val="left" w:pos="1280"/>
        </w:tabs>
        <w:spacing w:line="288" w:lineRule="exact"/>
        <w:ind w:firstLine="857"/>
        <w:jc w:val="both"/>
      </w:pPr>
    </w:p>
    <w:p w:rsidR="00E8404A" w:rsidRDefault="00E8404A">
      <w:pPr>
        <w:pStyle w:val="edf1464250365882"/>
        <w:tabs>
          <w:tab w:val="left" w:pos="1280"/>
        </w:tabs>
        <w:spacing w:line="288" w:lineRule="exact"/>
        <w:ind w:firstLine="857"/>
        <w:jc w:val="both"/>
      </w:pPr>
      <w:r>
        <w:t>43. Anayasa'nın 35. maddesinin birinci fıkrasında</w:t>
      </w:r>
      <w:r>
        <w:rPr>
          <w:i/>
          <w:iCs/>
        </w:rPr>
        <w:t xml:space="preserve"> "Herkes, mülkiyet ve miras haklarına sahiptir." </w:t>
      </w:r>
      <w:r>
        <w:t xml:space="preserve">denilmek suretiyle mülkiyet hakkı güvenceye bağlanmıştır. Anayasa'nın anılan maddesiyle güvenceye bağlanan mülkiyet hakkı, ekonomik değer ifade eden ve parayla değerlendirilebilen her türlü mal varlığı hakkını kapsamaktadır (AYM, E.2015/39, K.2015/62, </w:t>
      </w:r>
      <w:proofErr w:type="gramStart"/>
      <w:r>
        <w:t>1/7/2015</w:t>
      </w:r>
      <w:proofErr w:type="gramEnd"/>
      <w:r>
        <w:t>, § 20). Somut olayda imar uygulamasına konu taşınmaz, tapuda başvurucular adına tescillidir. Bu bağlamda tapuda kayıtlı olan taşınmazın Anayasa'nın 35. maddesi bağlamında mülk teşkil ettiği açıktır.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(2)</w:t>
      </w:r>
      <w:r>
        <w:tab/>
      </w:r>
      <w:r>
        <w:rPr>
          <w:b/>
        </w:rPr>
        <w:t>Müdahalenin Varlığı</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44.</w:t>
      </w:r>
      <w:r>
        <w:tab/>
        <w:t>Anayasa’nın 35. maddesinde bir temel hak olarak güvence altına alınmış olan mülkiyet hakkı kişiye -başkasının hakkına zarar vermemek ve yasaların koyduğu sınırlamalara uymak koşuluyla- sahibi olduğu şeyi dilediği gibi kullanma ve ondan tasarruf etme, onun ürünlerinden yararlanma olanağı verir (</w:t>
      </w:r>
      <w:r>
        <w:rPr>
          <w:i/>
          <w:iCs/>
        </w:rPr>
        <w:t>Mehmet Akdoğan ve diğerleri</w:t>
      </w:r>
      <w:r>
        <w:t xml:space="preserve">, B. No: 2013/817, </w:t>
      </w:r>
      <w:proofErr w:type="gramStart"/>
      <w:r>
        <w:t>19/12/2013</w:t>
      </w:r>
      <w:proofErr w:type="gramEnd"/>
      <w:r>
        <w:t>, § 32). Dolayısıyla malikin mülkünü kullanma, onun semerelerinden yararlanma ve mülkü üzerinde tasarruf etme yetkilerinden herhangi birinin sınırlanması mülkiyet hakkına müdahale teşkil eder (</w:t>
      </w:r>
      <w:r>
        <w:rPr>
          <w:i/>
          <w:iCs/>
        </w:rPr>
        <w:t>Recep Tarhan ve Afife Tarhan</w:t>
      </w:r>
      <w:r>
        <w:t xml:space="preserve">, B. No: 2014/1546, </w:t>
      </w:r>
      <w:proofErr w:type="gramStart"/>
      <w:r>
        <w:t>2/2/2017</w:t>
      </w:r>
      <w:proofErr w:type="gramEnd"/>
      <w:r>
        <w:t>, § 53).</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45.</w:t>
      </w:r>
      <w:r>
        <w:tab/>
        <w:t xml:space="preserve">Anayasa Mahkemesi, bir taşınmazın uygulama imar planında kamu hizmeti alanına ayrılmasından şikâyet edildiği </w:t>
      </w:r>
      <w:r>
        <w:rPr>
          <w:i/>
          <w:iCs/>
        </w:rPr>
        <w:t xml:space="preserve">Hüseyin Ünal </w:t>
      </w:r>
      <w:r>
        <w:t>(aynı kararda bkz. § 41)</w:t>
      </w:r>
      <w:r>
        <w:rPr>
          <w:i/>
          <w:iCs/>
        </w:rPr>
        <w:t xml:space="preserve"> </w:t>
      </w:r>
      <w:r>
        <w:t>başvurusunda taşınmazın kamulaştırılmadığı süreçte müdahalenin yol açtığı kısıtlamaları gözeterek müdahaleyi mülkiyetten barışçıl yararlanmaya ilişkin genel kural çerçevesinde incelemiştir. Somut olayda da başvuruculara ait taşınmaz kamu hizmeti alanına ayrılmış olup müdahalenin mülkiyetten barışçıl yararlanmaya ilişkin genel kural çerçevesinde incelenmesi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(3)</w:t>
      </w:r>
      <w:r>
        <w:tab/>
      </w:r>
      <w:r>
        <w:rPr>
          <w:b/>
        </w:rPr>
        <w:t>Müdahalenin İhlal Oluşturup Oluşturmadığı</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46.</w:t>
      </w:r>
      <w:r>
        <w:tab/>
        <w:t>Anayasa’nın 13. maddesi şöyledir:</w:t>
      </w:r>
    </w:p>
    <w:p w:rsidR="00E8404A" w:rsidRDefault="00E8404A">
      <w:pPr>
        <w:tabs>
          <w:tab w:val="left" w:pos="1280"/>
        </w:tabs>
        <w:spacing w:line="288" w:lineRule="exact"/>
        <w:ind w:left="841" w:firstLine="461"/>
        <w:jc w:val="both"/>
      </w:pPr>
    </w:p>
    <w:p w:rsidR="00E8404A" w:rsidRDefault="00E8404A">
      <w:pPr>
        <w:tabs>
          <w:tab w:val="left" w:pos="1280"/>
        </w:tabs>
        <w:spacing w:line="288" w:lineRule="exact"/>
        <w:ind w:left="841" w:firstLine="461"/>
        <w:jc w:val="both"/>
        <w:rPr>
          <w:i/>
          <w:iCs/>
          <w:sz w:val="22"/>
        </w:rPr>
      </w:pPr>
      <w:r>
        <w:rPr>
          <w:i/>
          <w:iCs/>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47.</w:t>
      </w:r>
      <w:r>
        <w:tab/>
        <w:t xml:space="preserve">Anayasa’nın 35. maddesinde mülkiyet hakkı sınırsız bir hak olarak düzenlenmemiş, bu hakkın kamu yararı amacıyla ve kanunla sınırlandırılabileceği öngörülmüştür. Mülkiyet hakkına müdahalede bulunulurken temel hak ve özgürlüklerin sınırlandırılmasına ilişkin genel ilkeleri düzenleyen Anayasa'nın 13. maddesinin de </w:t>
      </w:r>
      <w:proofErr w:type="spellStart"/>
      <w:r>
        <w:t>gözönünde</w:t>
      </w:r>
      <w:proofErr w:type="spellEnd"/>
      <w:r>
        <w:t xml:space="preserve"> bulundurulması gerekmektedir. Dolayısıyla mülkiyet hakkına yönelik müdahalenin Anayasa'ya uygun olabilmesi için müdahalenin kanuna dayanması, kamu yararı amacı taşıması ve ayrıca ölçülülük ilkesi gözetilerek yapılması gerekmektedir(</w:t>
      </w:r>
      <w:r>
        <w:rPr>
          <w:i/>
          <w:iCs/>
        </w:rPr>
        <w:t>Recep Tarhan ve Afife Tarhan</w:t>
      </w:r>
      <w:r>
        <w:t>, § 62).</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(a)</w:t>
      </w:r>
      <w:r>
        <w:tab/>
      </w:r>
      <w:r>
        <w:rPr>
          <w:b/>
        </w:rPr>
        <w:t>Kanunilik</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48.</w:t>
      </w:r>
      <w:r>
        <w:tab/>
        <w:t>Mülkiyet hakkına yönelik müdahalelerde ilk incelenmesi gereken ölçüt, kanuna dayalı olma ölçütüdür. Bu ölçütün sağlanmadığı tespit edildiğinde diğer ölçütler bakımından inceleme yapılmaksızın mülkiyet hakkının ihlal edildiği sonucuna varılacaktır. Müdahalenin kanuna dayalı olması, müdahaleye ilişkin yeterince ulaşılabilir, belirli ve öngörülebilir kanun hükümlerinin bulunmasını gerektirmektedir (</w:t>
      </w:r>
      <w:r>
        <w:rPr>
          <w:i/>
          <w:iCs/>
        </w:rPr>
        <w:t xml:space="preserve">Türkiye İş Bankası A.Ş. </w:t>
      </w:r>
      <w:r>
        <w:t xml:space="preserve">[GK], B. No: 2014/6192, </w:t>
      </w:r>
      <w:proofErr w:type="gramStart"/>
      <w:r>
        <w:t>12/11/2014</w:t>
      </w:r>
      <w:proofErr w:type="gramEnd"/>
      <w:r>
        <w:t xml:space="preserve">, § 44; </w:t>
      </w:r>
      <w:r>
        <w:rPr>
          <w:i/>
          <w:iCs/>
        </w:rPr>
        <w:t xml:space="preserve">Ford Motor </w:t>
      </w:r>
      <w:proofErr w:type="spellStart"/>
      <w:r>
        <w:rPr>
          <w:i/>
          <w:iCs/>
        </w:rPr>
        <w:t>Company</w:t>
      </w:r>
      <w:proofErr w:type="spellEnd"/>
      <w:r>
        <w:t xml:space="preserve">, B. No: 2014/13518, 26/10/2017, § 49; </w:t>
      </w:r>
      <w:r>
        <w:rPr>
          <w:i/>
          <w:iCs/>
        </w:rPr>
        <w:t>Necmiye Çiftçi ve diğerleri</w:t>
      </w:r>
      <w:r>
        <w:t>, B. No: 2013/1301, 30/12/2014, § 55).</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49.</w:t>
      </w:r>
      <w:r>
        <w:tab/>
        <w:t xml:space="preserve">Somut olayda müdahalenin </w:t>
      </w:r>
      <w:proofErr w:type="gramStart"/>
      <w:r>
        <w:t>3/5/1985</w:t>
      </w:r>
      <w:proofErr w:type="gramEnd"/>
      <w:r>
        <w:t xml:space="preserve"> tarihli ve 3194 sayılı İmar Kanunu'nun ilgili hükümlerine dayandığı anlaşılmakta olup başvurucular da müdahalenin kanuni bir dayanağının olmadığını ortaya koyamamışlardır.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(b)</w:t>
      </w:r>
      <w:r>
        <w:tab/>
      </w:r>
      <w:r>
        <w:rPr>
          <w:b/>
        </w:rPr>
        <w:t>Meşru Amaç</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50.</w:t>
      </w:r>
      <w:r>
        <w:tab/>
        <w:t>Anayasa'nın 13. ve 35. maddeleri uyarınca mülkiyet hakkı ancak kamu yararı amacıyla sınırlandırılabilmektedir. Kamu yararı kavramı, mülkiyet hakkının kamu yararının gerektirdiği durumlarda sınırlandırılması imkânı vermekle bir sınırlandırma amacı olmasının yanı sıra mülkiyet hakkının kamu yararı amacı dışında sınırlanamayacağını öngörerek ve bu anlamda bir sınırlama sınırı oluşturarak mülkiyet hakkını etkin bir şekilde korumaktadır. Kamu yararı kavramı, devlet organlarının takdir yetkisini de beraberinde getiren bir kavram olup objektif bir tanıma elverişli olmayan bu ölçütün her somut olay temelinde ayrıca değerlendirilmesi gerekir (</w:t>
      </w:r>
      <w:proofErr w:type="spellStart"/>
      <w:r>
        <w:rPr>
          <w:i/>
          <w:iCs/>
        </w:rPr>
        <w:t>Nusrat</w:t>
      </w:r>
      <w:proofErr w:type="spellEnd"/>
      <w:r>
        <w:rPr>
          <w:i/>
          <w:iCs/>
        </w:rPr>
        <w:t xml:space="preserve"> </w:t>
      </w:r>
      <w:proofErr w:type="spellStart"/>
      <w:proofErr w:type="gramStart"/>
      <w:r>
        <w:rPr>
          <w:i/>
          <w:iCs/>
        </w:rPr>
        <w:t>Külah</w:t>
      </w:r>
      <w:r>
        <w:t>,B</w:t>
      </w:r>
      <w:proofErr w:type="spellEnd"/>
      <w:proofErr w:type="gramEnd"/>
      <w:r>
        <w:t xml:space="preserve">. No: 2013/6151, 21/4/2016, §§ 53, 56; </w:t>
      </w:r>
      <w:proofErr w:type="spellStart"/>
      <w:r>
        <w:rPr>
          <w:i/>
          <w:iCs/>
        </w:rPr>
        <w:t>Yunis</w:t>
      </w:r>
      <w:proofErr w:type="spellEnd"/>
      <w:r>
        <w:rPr>
          <w:i/>
          <w:iCs/>
        </w:rPr>
        <w:t xml:space="preserve"> Ağlar</w:t>
      </w:r>
      <w:r>
        <w:t>, B. No: 2013/1239, 20/3/2014, §§ 28, 29).</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51.</w:t>
      </w:r>
      <w:r>
        <w:tab/>
        <w:t>3194 sayılı Kanun'un 1. maddesinde, yerleşim yerleri ile bu yerlerdeki yapılaşmaların plan, fen, sağlık ve çevre şartlarına uygun olarak teşekkülünü sağlamak amacıyla Kanun'un düzenlendiği belirtilmiştir. Kanun'un belirtilen amacı çerçevesinde arazi ve arsaların düzenlemesi sırasında taşınmazın imar durumunun belirlenmesi yönündeki müdahalenin kamu yararına dayalı, meşru bir amacının bulunduğu kabul edilmelidir.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lastRenderedPageBreak/>
        <w:t>(c)</w:t>
      </w:r>
      <w:r>
        <w:tab/>
      </w:r>
      <w:r>
        <w:rPr>
          <w:b/>
        </w:rPr>
        <w:t>Ölçülülük</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(i)</w:t>
      </w:r>
      <w:r>
        <w:tab/>
      </w:r>
      <w:r>
        <w:rPr>
          <w:b/>
        </w:rPr>
        <w:t>Genel İlkeler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52.</w:t>
      </w:r>
      <w:r>
        <w:tab/>
        <w:t>Son olarak kamu makamlarınca başvurucuların mülkiyet hakkına yapılan müdahaleyle gerçekleştirilmek istenen amaç ve bu amacın gerçekleştirilmesi için kullanılan araçlar arasında makul bir ölçülülük ilişkisinin olup olmadığı değerlendirilmelidir.</w:t>
      </w:r>
    </w:p>
    <w:p w:rsidR="00E8404A" w:rsidRDefault="00E8404A">
      <w:pPr>
        <w:pStyle w:val="edf1393440552765"/>
        <w:tabs>
          <w:tab w:val="left" w:pos="1280"/>
        </w:tabs>
        <w:spacing w:line="288" w:lineRule="exact"/>
        <w:ind w:firstLine="857"/>
        <w:jc w:val="both"/>
      </w:pPr>
    </w:p>
    <w:p w:rsidR="00E8404A" w:rsidRDefault="00E8404A">
      <w:pPr>
        <w:pStyle w:val="edf1393440552765"/>
        <w:tabs>
          <w:tab w:val="left" w:pos="1280"/>
        </w:tabs>
        <w:spacing w:line="288" w:lineRule="exact"/>
        <w:ind w:firstLine="857"/>
        <w:jc w:val="both"/>
      </w:pPr>
      <w:r>
        <w:t>53.</w:t>
      </w:r>
      <w:r>
        <w:tab/>
        <w:t xml:space="preserve">Anayasa'nın 13. maddesi uyarınca hak ve özgürlüklerin sınırlandırılmasında dikkate alınacak ölçütlerden biri olan ölçülülük, hukuk devleti ilkesinden doğmaktadır. Hukuk devletinde hak ve özgürlüklerin sınırlandırılması istisnai bir yetki olduğundan bu yetki ancak durumun gerektirdiği ölçüde kullanılması koşuluyla haklı bir temele oturabilir. Bireylerin hak ve özgürlüklerinin somut koşulların gerektirdiğinden daha fazla sınırlandırılması kamu otoritelerine tanınan yetkinin aşılması anlamına geleceğinden hukuk devletiyle bağdaşmaz (AYM, E.2013/95, K.2014/176, </w:t>
      </w:r>
      <w:proofErr w:type="gramStart"/>
      <w:r>
        <w:t>13/11/2014</w:t>
      </w:r>
      <w:proofErr w:type="gramEnd"/>
      <w:r>
        <w:t>).</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54.</w:t>
      </w:r>
      <w:r>
        <w:tab/>
        <w:t>Ölçülülük ilkesi</w:t>
      </w:r>
      <w:r>
        <w:rPr>
          <w:i/>
          <w:iCs/>
        </w:rPr>
        <w:t xml:space="preserve"> elverişlilik</w:t>
      </w:r>
      <w:r>
        <w:t xml:space="preserve">, </w:t>
      </w:r>
      <w:r>
        <w:rPr>
          <w:i/>
          <w:iCs/>
        </w:rPr>
        <w:t>gereklilik</w:t>
      </w:r>
      <w:r>
        <w:t xml:space="preserve"> ve </w:t>
      </w:r>
      <w:r>
        <w:rPr>
          <w:i/>
          <w:iCs/>
        </w:rPr>
        <w:t>orantılılık</w:t>
      </w:r>
      <w:r>
        <w:t xml:space="preserve"> olmak üzere üç alt ilkeden oluşmaktadır. </w:t>
      </w:r>
      <w:r>
        <w:rPr>
          <w:i/>
          <w:iCs/>
        </w:rPr>
        <w:t xml:space="preserve">Elverişlilik </w:t>
      </w:r>
      <w:r>
        <w:t xml:space="preserve">öngörülen müdahalenin ulaşılmak istenen amacı gerçekleştirmeye elverişli olmasını, </w:t>
      </w:r>
      <w:r>
        <w:rPr>
          <w:i/>
          <w:iCs/>
        </w:rPr>
        <w:t>gereklilik</w:t>
      </w:r>
      <w:r>
        <w:t xml:space="preserve"> ulaşılmak istenen amaç bakımından müdahalenin zorunlu olmasını yani aynı amaca daha hafif bir müdahale ile ulaşılmasının mümkün olmamasını, </w:t>
      </w:r>
      <w:r>
        <w:rPr>
          <w:i/>
          <w:iCs/>
        </w:rPr>
        <w:t>orantılılık</w:t>
      </w:r>
      <w:r>
        <w:t xml:space="preserve"> ise bireyin hakkına yapılan müdahale ile ulaşılmak istenen amaç arasında makul bir dengenin gözetilmesi gerekliliğini ifade etmektedir (AYM, E.2011/111, K.2012/56, </w:t>
      </w:r>
      <w:proofErr w:type="gramStart"/>
      <w:r>
        <w:t>11/4/2012</w:t>
      </w:r>
      <w:proofErr w:type="gramEnd"/>
      <w:r>
        <w:t xml:space="preserve">; E.2014/176, K.2015/53, 27/5/2015; E.2016/13, K.2016/127, 22/6/2016; </w:t>
      </w:r>
      <w:r>
        <w:rPr>
          <w:i/>
          <w:iCs/>
        </w:rPr>
        <w:t>Mehmet Akdoğan ve diğerleri</w:t>
      </w:r>
      <w:r>
        <w:t>, § 38).</w:t>
      </w:r>
    </w:p>
    <w:p w:rsidR="00E8404A" w:rsidRDefault="00E8404A">
      <w:pPr>
        <w:pStyle w:val="edf1450279197849"/>
        <w:tabs>
          <w:tab w:val="left" w:pos="1280"/>
        </w:tabs>
        <w:spacing w:line="288" w:lineRule="exact"/>
        <w:ind w:firstLine="857"/>
        <w:jc w:val="both"/>
      </w:pPr>
    </w:p>
    <w:p w:rsidR="00E8404A" w:rsidRDefault="00E8404A">
      <w:pPr>
        <w:pStyle w:val="edf1450279197849"/>
        <w:tabs>
          <w:tab w:val="left" w:pos="1280"/>
        </w:tabs>
        <w:spacing w:line="288" w:lineRule="exact"/>
        <w:ind w:firstLine="857"/>
        <w:jc w:val="both"/>
      </w:pPr>
      <w:r>
        <w:t>55.</w:t>
      </w:r>
      <w:r>
        <w:tab/>
        <w:t xml:space="preserve">Orantılılık ilkesi gereği, kişilerin mülkiyet hakkının sınırlandırılması hâlinde elde edilmek istenen kamu yararı ile bireyin hakları arasında adil bir dengenin kurulması gerekmektedir. Bu adil denge, başvurucunun şahsi olarak aşırı bir yüke katlandığının tespit edilmesi durumunda bozulmuş olacaktır. Müdahalenin orantılılığını değerlendirirken Anayasa Mahkemesi; bir taraftan ulaşılmak istenen meşru amacın önemini, diğer taraftan da müdahalenin niteliğini, başvurucunun ve kamu otoritelerinin davranışlarını </w:t>
      </w:r>
      <w:proofErr w:type="spellStart"/>
      <w:r>
        <w:t>gözönünde</w:t>
      </w:r>
      <w:proofErr w:type="spellEnd"/>
      <w:r>
        <w:t xml:space="preserve"> bulundurarak başvurucuya yüklenen külfeti dikkate alacaktır (</w:t>
      </w:r>
      <w:r>
        <w:rPr>
          <w:i/>
          <w:iCs/>
        </w:rPr>
        <w:t>Arif Güven</w:t>
      </w:r>
      <w:r>
        <w:t xml:space="preserve">, B. No: 2014/13966, </w:t>
      </w:r>
      <w:proofErr w:type="gramStart"/>
      <w:r>
        <w:t>15/2/2017</w:t>
      </w:r>
      <w:proofErr w:type="gramEnd"/>
      <w:r>
        <w:t xml:space="preserve">, §§ 58, 60; </w:t>
      </w:r>
      <w:r>
        <w:rPr>
          <w:i/>
          <w:iCs/>
        </w:rPr>
        <w:t xml:space="preserve">Osman </w:t>
      </w:r>
      <w:proofErr w:type="spellStart"/>
      <w:r>
        <w:rPr>
          <w:i/>
          <w:iCs/>
        </w:rPr>
        <w:t>Ukav</w:t>
      </w:r>
      <w:proofErr w:type="spellEnd"/>
      <w:r>
        <w:t>, B. No: 2014/12501, 6/7/2017, § 71).</w:t>
      </w:r>
    </w:p>
    <w:p w:rsidR="00E8404A" w:rsidRDefault="00E8404A">
      <w:pPr>
        <w:pStyle w:val="edf1450279197849"/>
        <w:tabs>
          <w:tab w:val="left" w:pos="1280"/>
        </w:tabs>
        <w:spacing w:line="288" w:lineRule="exact"/>
        <w:ind w:firstLine="857"/>
        <w:jc w:val="both"/>
      </w:pPr>
    </w:p>
    <w:p w:rsidR="00E8404A" w:rsidRDefault="00E8404A">
      <w:pPr>
        <w:tabs>
          <w:tab w:val="left" w:pos="1280"/>
        </w:tabs>
        <w:spacing w:line="288" w:lineRule="exact"/>
        <w:ind w:firstLine="857"/>
        <w:jc w:val="both"/>
      </w:pPr>
      <w:r>
        <w:t>56.</w:t>
      </w:r>
      <w:r>
        <w:tab/>
        <w:t xml:space="preserve">Kamu makamlarının özellikle büyük şehirlerin gelişmeleri gibi karmaşık ve zor bir alanda kendi imar politikalarını uygulamak için geniş bir takdir alanı kullanmaları doğal olmakla birlikte belirtilen takdir yetkisinin Anayasa’nın 35. maddesinde güvence altına alınan mülkiyet hakkını ve Anayasa’nın 13. maddesinde yer verilen güvence ölçütlerini gözetecek şekilde kullanıp kullanmadığının denetlenmesi zorunludur (AYM, E.2012/100, K.2013/84, </w:t>
      </w:r>
      <w:proofErr w:type="gramStart"/>
      <w:r>
        <w:t>4/7/2013</w:t>
      </w:r>
      <w:proofErr w:type="gramEnd"/>
      <w:r>
        <w:t xml:space="preserve">). </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(ii)</w:t>
      </w:r>
      <w:r>
        <w:tab/>
      </w:r>
      <w:r>
        <w:rPr>
          <w:b/>
        </w:rPr>
        <w:t>İlkelerin Olaya Uygulanması</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57.</w:t>
      </w:r>
      <w:r>
        <w:tab/>
        <w:t xml:space="preserve">Anayasa Mahkemesi </w:t>
      </w:r>
      <w:r>
        <w:rPr>
          <w:i/>
          <w:iCs/>
        </w:rPr>
        <w:t>Hüseyin Ünal</w:t>
      </w:r>
      <w:r>
        <w:t xml:space="preserve"> (aynı kararda bkz. §§ 51-62) başvurusunda ölçülülük yönünden yapılan değerlendirmede uygulama imar planının onaylanmasından itibaren beş yıldan fazla süre geçmesine rağmen imar planında kamu hizmetine ayrılan taşınmazın kamulaştırılmamasının ve herhangi bir tazminat da ödenmemesinin başvuruculara şahsi olarak aşırı bir külfet yüklediği kanaatine ulaşmıştır. Bu sebeple başvurucuların mülkiyet hakkının korunması ile kamunun yararı arasında olması gereken adil dengenin başvurucular aleyhine bozulduğunu ve müdahalenin ölçülü olmadığını kabul etmiştir.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58.</w:t>
      </w:r>
      <w:r>
        <w:tab/>
        <w:t>Somut başvuruda da başvuruculara ait aynı ada içinde bulunan taşınmazlar 1986 yılında yapılan uygulama imar planında</w:t>
      </w:r>
      <w:r>
        <w:rPr>
          <w:i/>
          <w:iCs/>
        </w:rPr>
        <w:t xml:space="preserve"> </w:t>
      </w:r>
      <w:proofErr w:type="gramStart"/>
      <w:r>
        <w:rPr>
          <w:i/>
          <w:iCs/>
        </w:rPr>
        <w:t>yüksek öğretim</w:t>
      </w:r>
      <w:proofErr w:type="gramEnd"/>
      <w:r>
        <w:rPr>
          <w:i/>
          <w:iCs/>
        </w:rPr>
        <w:t xml:space="preserve"> tesis alanı</w:t>
      </w:r>
      <w:r>
        <w:t xml:space="preserve"> olarak ayrılmıştır. Bu taşınmazların uzunca bir süre kamulaştırılmaması üzerine başvurucular tarafından öncelikle adli yargı yerinde kamulaştırmasız el atmaya dayalı alacak davası açılmışsa da 2942 sayılı Kanun'un geçici 6. maddesinde yapılan değişiklik uyarınca uyuşmazlığın idari yargının görev alanına girdiği gerekçesiyle davalar reddedilmiştir. İdari yargıda açılan tam yargı davaları ise idarenin kamulaştırma iradesinin bulunmadığı gerekçesiyle reddedilmiştir. </w:t>
      </w:r>
    </w:p>
    <w:p w:rsidR="00E8404A" w:rsidRDefault="00E8404A">
      <w:pPr>
        <w:tabs>
          <w:tab w:val="left" w:pos="1300"/>
        </w:tabs>
        <w:spacing w:line="288" w:lineRule="exact"/>
        <w:ind w:firstLine="857"/>
        <w:jc w:val="both"/>
      </w:pPr>
    </w:p>
    <w:p w:rsidR="00E8404A" w:rsidRDefault="00E8404A">
      <w:pPr>
        <w:tabs>
          <w:tab w:val="left" w:pos="1300"/>
        </w:tabs>
        <w:spacing w:line="288" w:lineRule="exact"/>
        <w:ind w:firstLine="857"/>
        <w:jc w:val="both"/>
      </w:pPr>
      <w:r>
        <w:t>59.</w:t>
      </w:r>
      <w:r>
        <w:tab/>
        <w:t>İmar planlarında kamu hizmetine ayrılan taşınmazların -diğer yollarla temini mümkün olmadığı takdirde- belirli bir süre içinde kamulaştırılması gerektiği, kamulaştırma süresinin uzamasının mülkiyet hakkının tanıdığı yetkilerin kullanımı noktasında belirsizliğe yol açacağı kuşkusuzdur. Somut olayda başvuruculara ait taşınmazlar 1986 yılında yapılan uygulama imar planıyla kamu hizmeti alanına ayrılmıştır. Buna göre taşınmazlar üzerindeki kısıtlamanın 1986 yılından itibaren yaklaşık otuz üç yıldan beri devam ettiği dikkate alınmalıdır. İdare tarafından bu taşınmazların kamulaştırılmasından vazgeçildiği belirtilmiş ise de kamu hizmeti alanına ayrılmasından kaynaklanan kısıtlamaların devam ettiği görülmektedir. Bu kısıtlamaların ise ancak imar planı tadilatı yapılması üzerine taşınmazların kamu hizmeti alanından çıkarılmasıyla ortadan kalkacağı açıktır. Fakat başvurucuların talebine rağmen kamu makamlarının bugüne kadar imar planı değişikliğini yapmadığı açıktır.</w:t>
      </w:r>
    </w:p>
    <w:p w:rsidR="00E8404A" w:rsidRDefault="00E8404A">
      <w:pPr>
        <w:tabs>
          <w:tab w:val="left" w:pos="1300"/>
        </w:tabs>
        <w:spacing w:line="288" w:lineRule="exact"/>
        <w:ind w:firstLine="857"/>
        <w:jc w:val="both"/>
      </w:pPr>
    </w:p>
    <w:p w:rsidR="00E8404A" w:rsidRDefault="00E8404A">
      <w:pPr>
        <w:tabs>
          <w:tab w:val="left" w:pos="1300"/>
        </w:tabs>
        <w:spacing w:line="288" w:lineRule="exact"/>
        <w:ind w:firstLine="857"/>
        <w:jc w:val="both"/>
      </w:pPr>
      <w:r>
        <w:t>60.</w:t>
      </w:r>
      <w:r>
        <w:tab/>
        <w:t>Dolayısıyla taşınmazların kamu hizmeti alanına ayrıldığı tarihten bugüne kadar başvurucuların mülkiyet haklarından diledikleri gibi istifade edemedikleri ortadadır. Buna göre taşınmazların kamu hizmeti alanı olarak belirlenmesinden sonra beş yıl gibi bir süre kamulaştırılmaması makul görülebilirse de somut olayda olduğu gibi yaklaşık otuz üç yıldır devam eden kısıtlamanın malikler yönünden aşırı bir külfete yol açtığı kuşkusuzdur. Öte yandan başvurucular adli yargıda açtıkları tazminat ve idari yargıda açtıkları tam yargı davalarından da bir sonuç elde edememiştir. İdarenin kamulaştırma iradesinin bulunmaması nedeniyle kısıtlamanın kaldırılmasının mümkün olduğu kabul edilse dahi başvurucuların kısıtlamanın yol açtığı maddi zararlarının karşılanması talebi de bulunmaktadır.</w:t>
      </w:r>
    </w:p>
    <w:p w:rsidR="00E8404A" w:rsidRDefault="00E8404A">
      <w:pPr>
        <w:tabs>
          <w:tab w:val="left" w:pos="1300"/>
        </w:tabs>
        <w:spacing w:line="288" w:lineRule="exact"/>
        <w:ind w:firstLine="857"/>
        <w:jc w:val="both"/>
      </w:pPr>
    </w:p>
    <w:p w:rsidR="00E8404A" w:rsidRDefault="00E8404A">
      <w:pPr>
        <w:tabs>
          <w:tab w:val="left" w:pos="1300"/>
        </w:tabs>
        <w:spacing w:line="288" w:lineRule="exact"/>
        <w:ind w:firstLine="857"/>
        <w:jc w:val="both"/>
      </w:pPr>
      <w:r>
        <w:t>61.</w:t>
      </w:r>
      <w:r>
        <w:tab/>
        <w:t xml:space="preserve">Yukarıda da değinildiği üzere başvurucuların taşınmazları üzerinde otuz üç yıl boyunca inşaat yasağı gibi kısıtlamalar devam etmiştir. Başvurucular, bu taşınmazları diledikleri gibi hukuki işlemlere konu edememiş ve taşınmazın değeriyle ilgili olarak olumsuz bir durumla karşılaşmışlardır. Nitekim başvurucular, dava aşamasında şerhin uzun sürmesi nedeniyle zarara uğradıklarını açıkça belirtmişlerdir. Buna göre tazminat istemlerinin yalnızca kamulaştırma bedeli ile sınırlı olmadığı anlaşılmaktadır. Diğer bir deyişle başvurucular kısıtlama sebebiyle uğradıkları zararın tazminini talep ettikleri hâlde açtıkları dava derece mahkemelerince kamulaştırma bedeli ödenemeyeceği gerekçesiyle reddedilmiştir. Hâlbuki kısıtlama suretiyle yapılan müdahalenin ölçülü olabilmesi için başvurucular yönünden anılan kısıtlamaların yol açtığı zararların da tazmin edilmesi gerekir. </w:t>
      </w:r>
    </w:p>
    <w:p w:rsidR="00E8404A" w:rsidRDefault="00E8404A">
      <w:pPr>
        <w:tabs>
          <w:tab w:val="left" w:pos="1300"/>
        </w:tabs>
        <w:spacing w:line="288" w:lineRule="exact"/>
        <w:ind w:firstLine="857"/>
        <w:jc w:val="both"/>
      </w:pPr>
    </w:p>
    <w:p w:rsidR="00E8404A" w:rsidRDefault="00E8404A">
      <w:pPr>
        <w:tabs>
          <w:tab w:val="left" w:pos="1300"/>
        </w:tabs>
        <w:spacing w:line="288" w:lineRule="exact"/>
        <w:ind w:firstLine="857"/>
        <w:jc w:val="both"/>
      </w:pPr>
      <w:r>
        <w:t>62.</w:t>
      </w:r>
      <w:r>
        <w:tab/>
        <w:t>Sonuç olarak somut olayda kamu makamlarının taşınmazın kamulaştırılması ya da kamulaştırılmaya gerek duyulmaması durumunda imar planı değişikliğiyle taşınmaz üzerindeki kısıtlamaların kaldırılması hususundaki edilgen tutumlarının, bunun karşılığında herhangi bir tazminat ödenmemesinin başvuruculara şahsi olarak aşırı ve olağan dışı bir külfet yüklediğini belirtmek gerekir. Bu sebeple başvurucuların mülkiyet hakkının korunması ile kamunun yararı arasında olması gereken adil dengenin başvurucular aleyhine bozulduğu ve müdahalenin ölçülü olmadığı sonucuna varılmıştır.</w:t>
      </w:r>
    </w:p>
    <w:p w:rsidR="00E8404A" w:rsidRDefault="00E8404A">
      <w:pPr>
        <w:tabs>
          <w:tab w:val="left" w:pos="1300"/>
        </w:tabs>
        <w:spacing w:line="288" w:lineRule="exact"/>
        <w:ind w:firstLine="857"/>
        <w:jc w:val="both"/>
      </w:pPr>
    </w:p>
    <w:p w:rsidR="00E8404A" w:rsidRDefault="00E8404A">
      <w:pPr>
        <w:tabs>
          <w:tab w:val="left" w:pos="1280"/>
        </w:tabs>
        <w:spacing w:line="288" w:lineRule="exact"/>
        <w:ind w:firstLine="857"/>
        <w:jc w:val="both"/>
      </w:pPr>
      <w:r>
        <w:lastRenderedPageBreak/>
        <w:t>63.</w:t>
      </w:r>
      <w:r>
        <w:tab/>
        <w:t>Açıklanan gerekçelerle Anayasa’nın 35. maddesinde güvence altına alınan mülkiyet hakkının ihlal edildiğine karar verilmesi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3.</w:t>
      </w:r>
      <w:r>
        <w:tab/>
      </w:r>
      <w:r>
        <w:rPr>
          <w:b/>
        </w:rPr>
        <w:t>6216 Sayılı Kanun'un 50. Maddesi Yönünden</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64.</w:t>
      </w:r>
      <w:r>
        <w:tab/>
        <w:t>6216 sayılı Kanun’un 50. maddesinin (1) ve (2) numaralı fıkraları şöyledir:</w:t>
      </w:r>
    </w:p>
    <w:p w:rsidR="00E8404A" w:rsidRDefault="00E8404A">
      <w:pPr>
        <w:tabs>
          <w:tab w:val="left" w:pos="1280"/>
        </w:tabs>
        <w:spacing w:line="288" w:lineRule="exact"/>
        <w:ind w:left="841" w:firstLine="461"/>
        <w:jc w:val="both"/>
      </w:pPr>
    </w:p>
    <w:p w:rsidR="00E8404A" w:rsidRDefault="00E8404A">
      <w:pPr>
        <w:tabs>
          <w:tab w:val="left" w:pos="1280"/>
        </w:tabs>
        <w:spacing w:line="288" w:lineRule="exact"/>
        <w:ind w:left="841" w:firstLine="461"/>
        <w:jc w:val="both"/>
        <w:rPr>
          <w:i/>
          <w:iCs/>
          <w:sz w:val="22"/>
        </w:rPr>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E8404A" w:rsidRDefault="00E8404A">
      <w:pPr>
        <w:tabs>
          <w:tab w:val="left" w:pos="1280"/>
        </w:tabs>
        <w:spacing w:line="288" w:lineRule="exact"/>
        <w:ind w:left="841" w:firstLine="461"/>
        <w:jc w:val="both"/>
      </w:pPr>
    </w:p>
    <w:p w:rsidR="00E8404A" w:rsidRDefault="00E8404A">
      <w:pPr>
        <w:tabs>
          <w:tab w:val="left" w:pos="1280"/>
        </w:tabs>
        <w:spacing w:line="288" w:lineRule="exact"/>
        <w:ind w:left="841" w:firstLine="461"/>
        <w:jc w:val="both"/>
        <w:rPr>
          <w:i/>
          <w:iCs/>
          <w:sz w:val="22"/>
        </w:rPr>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E8404A" w:rsidRDefault="00E8404A">
      <w:pPr>
        <w:tabs>
          <w:tab w:val="left" w:pos="1280"/>
        </w:tabs>
        <w:spacing w:line="288" w:lineRule="exact"/>
        <w:ind w:firstLine="850"/>
        <w:jc w:val="both"/>
      </w:pPr>
    </w:p>
    <w:p w:rsidR="00E8404A" w:rsidRDefault="00E8404A">
      <w:pPr>
        <w:tabs>
          <w:tab w:val="left" w:pos="1280"/>
        </w:tabs>
        <w:spacing w:line="288" w:lineRule="exact"/>
        <w:ind w:firstLine="857"/>
        <w:jc w:val="both"/>
      </w:pPr>
      <w:r>
        <w:t>65.</w:t>
      </w:r>
      <w:r>
        <w:tab/>
        <w:t>Anayasa Mahkemesinin</w:t>
      </w:r>
      <w:r>
        <w:rPr>
          <w:i/>
          <w:iCs/>
        </w:rPr>
        <w:t xml:space="preserve"> Mehmet Doğan </w:t>
      </w:r>
      <w:r>
        <w:t xml:space="preserve">([GK], B. No: 2014/8875, </w:t>
      </w:r>
      <w:proofErr w:type="gramStart"/>
      <w:r>
        <w:t>7/6/2018</w:t>
      </w:r>
      <w:proofErr w:type="gramEnd"/>
      <w:r>
        <w:t>) kararında, ihlal sonucuna varıldığında ihlalin nasıl ortadan kaldırılacağının belirlenmesi hususunda genel ilkeler belirlenmiştir.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66.</w:t>
      </w:r>
      <w:r>
        <w:tab/>
        <w:t>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Pr>
          <w:i/>
          <w:iCs/>
        </w:rPr>
        <w:t xml:space="preserve">Mehmet Doğan, </w:t>
      </w:r>
      <w:r>
        <w:t xml:space="preserve">§ 55). </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67.</w:t>
      </w:r>
      <w:r>
        <w:tab/>
        <w:t>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Pr>
          <w:i/>
          <w:iCs/>
        </w:rPr>
        <w:t xml:space="preserve">Mehmet Doğan, </w:t>
      </w:r>
      <w:r>
        <w:t xml:space="preserve">§ 56). </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68.</w:t>
      </w:r>
      <w:r>
        <w:tab/>
        <w:t>İhlalin ve sonuçlarının ortadan kaldırılması için yapılması gerekenlere hükmedilmeden önce ihlalin kaynağının belirlenmesi gerekir. Buna göre ihlal idari eylem ve işlemlerden, yargısal işlemler veya yasama işlemlerinden kaynaklanabilir. İhlalin kaynağının belirlenmesi uygun giderim yolunun belirlenebilmesi bakımından önem taşımaktadır (</w:t>
      </w:r>
      <w:r>
        <w:rPr>
          <w:i/>
          <w:iCs/>
        </w:rPr>
        <w:t xml:space="preserve">Mehmet Doğan, </w:t>
      </w:r>
      <w:r>
        <w:t>§ 57).</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69.</w:t>
      </w:r>
      <w:r>
        <w:tab/>
        <w:t xml:space="preserve">İhlalin mahkeme kararından kaynaklandığı durumlarda 6216 sayılı Kanun’un 50. maddesinin (2) numaralı fıkrası ile </w:t>
      </w:r>
      <w:proofErr w:type="spellStart"/>
      <w:r>
        <w:t>İçtüzük'ün</w:t>
      </w:r>
      <w:proofErr w:type="spellEnd"/>
      <w:r>
        <w:t xml:space="preserve"> 79. maddesinin (1) numaralı fıkrasının (a) bendi uyarınca kural olarak ihlali ve sonuçlarını ortadan kaldırmak için yeniden yargılama yapılmak üzere kararın bir örneğinin ilgili mahkemeye gönderilmesine hükmedilir (</w:t>
      </w:r>
      <w:r>
        <w:rPr>
          <w:i/>
          <w:iCs/>
        </w:rPr>
        <w:t xml:space="preserve">Mehmet Doğan, </w:t>
      </w:r>
      <w:r>
        <w:t xml:space="preserve">§ 58). </w:t>
      </w:r>
    </w:p>
    <w:p w:rsidR="00E8404A" w:rsidRDefault="00E8404A">
      <w:pPr>
        <w:tabs>
          <w:tab w:val="left" w:pos="1280"/>
        </w:tabs>
        <w:spacing w:line="288" w:lineRule="exact"/>
        <w:ind w:firstLine="857"/>
        <w:jc w:val="both"/>
      </w:pPr>
      <w:r>
        <w:t>70.</w:t>
      </w:r>
      <w:r>
        <w:tab/>
        <w:t xml:space="preserve">Buna göre Anayasa Mahkemesince ihlalin tespit edildiği hâllerde yargılamanın yenilenmesinin gerekliliği hususundaki takdir derece mahkemelerine değil ihlalin varlığını tespit eden Anayasa Mahkemesine bırakılmıştır. Derece mahkemeleri ise Anayasa Mahkemesinin ihlal kararında belirttiği doğrultuda ihlalin sonuçlarını gidermek üzere gereken </w:t>
      </w:r>
      <w:r>
        <w:lastRenderedPageBreak/>
        <w:t>işlemleri yapmakla yükümlüdür (</w:t>
      </w:r>
      <w:r>
        <w:rPr>
          <w:i/>
          <w:iCs/>
        </w:rPr>
        <w:t>Mehmet Doğan,</w:t>
      </w:r>
      <w:r>
        <w:t xml:space="preserve"> § 59).</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71.</w:t>
      </w:r>
      <w:r>
        <w:tab/>
        <w:t>Bu bağlamda derece mahkemesinin öncelikle yapması gereken şey, bir temel hak veya özgürlüğü ihlal ettiği veya idari makamlar tarafından bir temel hak veya özgürlüğe yönelik olarak gerçekleştirilen ihlali gideremediği tespit edilen önceki kararını kaldırmaktır. Derece mahkemesi, kararın kaldırılmasından sonraki aşamada ise Anayasa Mahkemesi kararında tespit edilen ihlalin sonuçlarını gidermek için gereken işlemleri yapmak durumundadır (</w:t>
      </w:r>
      <w:r>
        <w:rPr>
          <w:i/>
          <w:iCs/>
        </w:rPr>
        <w:t>Mehmet Doğan,</w:t>
      </w:r>
      <w:r>
        <w:t xml:space="preserve"> § 60).</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72.</w:t>
      </w:r>
      <w:r>
        <w:tab/>
        <w:t>Başvurucular, maddi ve manevi tazminat talebinde bulunmuşlardır.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73.</w:t>
      </w:r>
      <w:r>
        <w:tab/>
        <w:t>Somut olayda başvuruculara ait taşınmaz, imar planında kamu hizmeti alanına ayrılmıştır. Başvurucuların açmış olduğu tazminat davalarında derece mahkemeleri, idare tarafından kamulaştırma işleminden vazgeçildiğinden ret kararı vermiştir. Sonuç olarak müdahalenin temeli olan taşınmazın imar planında kamu hizmetine ayrılması idari bir işlem niteliğindedir. Başvurucuların mülkiyet hakkının idari bir işlem nedeniyle ihlal edildiği anlaşılmaktadır. Ancak somut olayda ihlale yol açan idari eylem ve işleme karşı başvurulabilecek kanun yolu tüketildikten sonra bireysel başvurunun yapıldığı anlaşıldığına göre ilgili mahkemenin yeniden yargılama yoluyla tespit edilen ihlali ve sonuçlarını ortadan kaldırma imkânı bulunmaktadır.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74.</w:t>
      </w:r>
      <w:r>
        <w:tab/>
        <w:t>Bu durumda mülkiyet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kapsamda derece mahkemelerince yapılması gereken iş, ihlal sonucuna uygun olarak tazminata hükmedilmesinden ibarettir. Tazminat miktarının belirlenmesi hususu ise bu konuda uzmanlaşmış derece mahkemelerinin takdirindedir. Bu sebeple kararın bir örneğinin yeniden yargılama yapılmak üzere ilk derece mahkemesine gönderilmesine karar verilmesi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75.</w:t>
      </w:r>
      <w:r>
        <w:tab/>
        <w:t>Yeniden yargılama yapılmak üzere dosyanın yetkili yargı merciine gönderilmesine karar verilmesinin ihlal sonucu açısından yeterli bir giderim sağladığı anlaşıldığından başvurucuların tazminat taleplerinin reddine karar verilmesi gerekir.</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t>76.</w:t>
      </w:r>
      <w:r>
        <w:tab/>
        <w:t>Dosyadaki belgelerden tespit edilen toplam 1.535,86 TL harcın başvuruculara ekli (2) numaralı tabloda belirtildiği üzere ve 2.475 TL vekâlet ücretinin de müştereken ödenmesine karar verilmesi gerekir.</w:t>
      </w:r>
      <w:r>
        <w:rPr>
          <w:b/>
        </w:rPr>
        <w:t xml:space="preserve"> </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rPr>
          <w:b/>
        </w:rPr>
      </w:pPr>
      <w:r>
        <w:rPr>
          <w:b/>
        </w:rPr>
        <w:t>VI.</w:t>
      </w:r>
      <w:r>
        <w:tab/>
      </w:r>
      <w:r>
        <w:rPr>
          <w:b/>
        </w:rPr>
        <w:t>HÜKÜM</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Açıklanan gerekçelerle;</w:t>
      </w:r>
    </w:p>
    <w:p w:rsidR="00E8404A" w:rsidRDefault="00E8404A">
      <w:pPr>
        <w:tabs>
          <w:tab w:val="left" w:pos="1280"/>
        </w:tabs>
        <w:spacing w:line="288" w:lineRule="exact"/>
        <w:ind w:firstLine="857"/>
        <w:jc w:val="both"/>
      </w:pPr>
    </w:p>
    <w:p w:rsidR="00E8404A" w:rsidRDefault="00E8404A">
      <w:pPr>
        <w:tabs>
          <w:tab w:val="left" w:pos="1260"/>
          <w:tab w:val="left" w:pos="1280"/>
        </w:tabs>
        <w:spacing w:line="288" w:lineRule="exact"/>
        <w:ind w:firstLine="857"/>
        <w:jc w:val="both"/>
      </w:pPr>
      <w:r>
        <w:t>A.</w:t>
      </w:r>
      <w:r>
        <w:tab/>
        <w:t xml:space="preserve">Şaban Ergene, Hüseyin Aydın, </w:t>
      </w:r>
      <w:proofErr w:type="spellStart"/>
      <w:r>
        <w:t>Nezahat</w:t>
      </w:r>
      <w:proofErr w:type="spellEnd"/>
      <w:r>
        <w:t xml:space="preserve"> </w:t>
      </w:r>
      <w:proofErr w:type="spellStart"/>
      <w:r>
        <w:t>Aygör</w:t>
      </w:r>
      <w:proofErr w:type="spellEnd"/>
      <w:r>
        <w:t xml:space="preserve">, Nuriye </w:t>
      </w:r>
      <w:proofErr w:type="spellStart"/>
      <w:r>
        <w:t>Yazkurt</w:t>
      </w:r>
      <w:proofErr w:type="spellEnd"/>
      <w:r>
        <w:t xml:space="preserve"> ve Ümmiye </w:t>
      </w:r>
      <w:proofErr w:type="spellStart"/>
      <w:r>
        <w:t>Güllü'ye</w:t>
      </w:r>
      <w:proofErr w:type="spellEnd"/>
      <w:r>
        <w:t xml:space="preserve"> vekâleten Av. Seçkin Atar tarafından yapılan başvurunun </w:t>
      </w:r>
      <w:r>
        <w:rPr>
          <w:i/>
          <w:iCs/>
        </w:rPr>
        <w:t>başvuru hakkının kötüye kullanılması</w:t>
      </w:r>
      <w:r>
        <w:t xml:space="preserve"> nedeniyle REDDİNE,</w:t>
      </w:r>
    </w:p>
    <w:p w:rsidR="00E8404A" w:rsidRDefault="00E8404A">
      <w:pPr>
        <w:tabs>
          <w:tab w:val="left" w:pos="1260"/>
          <w:tab w:val="left" w:pos="1280"/>
        </w:tabs>
        <w:spacing w:line="288" w:lineRule="exact"/>
        <w:ind w:firstLine="857"/>
        <w:jc w:val="both"/>
      </w:pPr>
    </w:p>
    <w:p w:rsidR="00E8404A" w:rsidRDefault="00E8404A">
      <w:pPr>
        <w:tabs>
          <w:tab w:val="left" w:pos="1280"/>
        </w:tabs>
        <w:spacing w:line="288" w:lineRule="exact"/>
        <w:ind w:firstLine="857"/>
        <w:jc w:val="both"/>
      </w:pPr>
      <w:r>
        <w:t>B.</w:t>
      </w:r>
      <w:r>
        <w:tab/>
        <w:t xml:space="preserve">Başvurucular </w:t>
      </w:r>
      <w:proofErr w:type="gramStart"/>
      <w:r>
        <w:t>Adem</w:t>
      </w:r>
      <w:proofErr w:type="gramEnd"/>
      <w:r>
        <w:t xml:space="preserve"> </w:t>
      </w:r>
      <w:proofErr w:type="spellStart"/>
      <w:r>
        <w:t>Arslancan</w:t>
      </w:r>
      <w:proofErr w:type="spellEnd"/>
      <w:r>
        <w:t>, Baki Mudanya, Melahat Şentürk ve Recep Mudanya tarafından yapılan başvurunun DÜŞMESİNE,</w:t>
      </w:r>
    </w:p>
    <w:p w:rsidR="00E8404A" w:rsidRDefault="00E8404A">
      <w:pPr>
        <w:tabs>
          <w:tab w:val="left" w:pos="1280"/>
        </w:tabs>
        <w:spacing w:line="288" w:lineRule="exact"/>
        <w:ind w:firstLine="857"/>
        <w:jc w:val="both"/>
      </w:pPr>
    </w:p>
    <w:p w:rsidR="00E8404A" w:rsidRDefault="00E8404A">
      <w:pPr>
        <w:tabs>
          <w:tab w:val="left" w:pos="1260"/>
          <w:tab w:val="left" w:pos="1280"/>
        </w:tabs>
        <w:spacing w:line="288" w:lineRule="exact"/>
        <w:ind w:firstLine="857"/>
        <w:jc w:val="both"/>
      </w:pPr>
      <w:r>
        <w:t>C.</w:t>
      </w:r>
      <w:r>
        <w:tab/>
        <w:t xml:space="preserve">1. Diğer başvurucular yönünden makul sürede yargılanma hakkının ihlal </w:t>
      </w:r>
      <w:r>
        <w:lastRenderedPageBreak/>
        <w:t xml:space="preserve">edildiğine ilişkin iddianın </w:t>
      </w:r>
      <w:r>
        <w:rPr>
          <w:i/>
          <w:iCs/>
        </w:rPr>
        <w:t>başvuru yollarının tüketilmemesi</w:t>
      </w:r>
      <w:r>
        <w:t xml:space="preserve"> nedeniyle KABUL EDİLEMEZ OLDUĞUNA,</w:t>
      </w:r>
    </w:p>
    <w:p w:rsidR="00E8404A" w:rsidRDefault="00E8404A">
      <w:pPr>
        <w:tabs>
          <w:tab w:val="left" w:pos="1260"/>
          <w:tab w:val="left" w:pos="1280"/>
        </w:tabs>
        <w:spacing w:line="288" w:lineRule="exact"/>
        <w:ind w:firstLine="857"/>
        <w:jc w:val="both"/>
      </w:pPr>
    </w:p>
    <w:p w:rsidR="00E8404A" w:rsidRDefault="00E8404A">
      <w:pPr>
        <w:tabs>
          <w:tab w:val="left" w:pos="1260"/>
          <w:tab w:val="left" w:pos="1280"/>
        </w:tabs>
        <w:spacing w:line="288" w:lineRule="exact"/>
        <w:ind w:firstLine="857"/>
        <w:jc w:val="both"/>
      </w:pPr>
      <w:r>
        <w:tab/>
        <w:t>2.</w:t>
      </w:r>
      <w:r w:rsidR="00C56D2F">
        <w:t xml:space="preserve"> </w:t>
      </w:r>
      <w:r>
        <w:t>Diğer başvurucular yönünden mülkiyet hakkının ihlal edildiğine ilişkin iddianın KABUL EDİLEBİLİR OLDUĞUNA,</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D.</w:t>
      </w:r>
      <w:r>
        <w:tab/>
        <w:t>Diğer başvurucular yönünden Anayasa’nın 35. maddesinde güvence altına alınan mülkiyet hakkının İHLAL EDİLDİĞİNE,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E.</w:t>
      </w:r>
      <w:r>
        <w:tab/>
        <w:t>Kararın bir örneğinin mülkiyet hakkının ihlalinin sonuçlarının ortadan kaldırılması için yeniden yargılama yapılmak üzere Zonguldak İdare Mahkemesine (E.2014/953, E.2014/954, E.2014/956, E.2014/1178, E.2014/1179, E.2014/1180, E.2014/1181,E.2015/1252,E.201514 ) GÖNDERİLMESİNE,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F.</w:t>
      </w:r>
      <w:r>
        <w:tab/>
        <w:t>Başvurucuların tazminat taleplerinin REDDİNE,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G.</w:t>
      </w:r>
      <w:r>
        <w:tab/>
        <w:t xml:space="preserve">6216 sayılı Kanun'un 51. maddesi ve Anayasa Mahkemesi </w:t>
      </w:r>
      <w:proofErr w:type="spellStart"/>
      <w:r>
        <w:t>İçtüzüğü'nün</w:t>
      </w:r>
      <w:proofErr w:type="spellEnd"/>
      <w:r>
        <w:t xml:space="preserve"> 83. maddesi uyarınca 2.000 TL disiplin para cezasının Av. Seçkin </w:t>
      </w:r>
      <w:proofErr w:type="spellStart"/>
      <w:r>
        <w:t>ATAR'dan</w:t>
      </w:r>
      <w:proofErr w:type="spellEnd"/>
      <w:r>
        <w:t xml:space="preserve"> TAHSİLİNE,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H.</w:t>
      </w:r>
      <w:r>
        <w:tab/>
        <w:t>Dosyadaki belgelerden tespit edilen toplam 1.535,86 TL harcın başvuruculara ekli (2) numaralı tabloda belirtildiği üzere ve 2.475 TL vekâlet ücretinin de MÜŞTEREKEN ÖDENMESİNE,</w:t>
      </w:r>
    </w:p>
    <w:p w:rsidR="00E8404A" w:rsidRDefault="00E8404A">
      <w:pPr>
        <w:tabs>
          <w:tab w:val="left" w:pos="1280"/>
        </w:tabs>
        <w:spacing w:line="288" w:lineRule="exact"/>
        <w:ind w:firstLine="857"/>
        <w:jc w:val="both"/>
      </w:pPr>
    </w:p>
    <w:p w:rsidR="00E8404A" w:rsidRDefault="00E8404A">
      <w:pPr>
        <w:tabs>
          <w:tab w:val="left" w:pos="1280"/>
        </w:tabs>
        <w:spacing w:line="288" w:lineRule="exact"/>
        <w:ind w:firstLine="857"/>
        <w:jc w:val="both"/>
      </w:pPr>
      <w:r>
        <w:t>İ.</w:t>
      </w:r>
      <w:r>
        <w:tab/>
        <w:t xml:space="preserve">Ödemenin, kararın tebliğini takiben başvurucuların Hazine ve Maliye Bakanlığına başvuru tarihinden itibaren dört ay içinde yapılmasına, ödemede gecikme olması hâlinde bu sürenin sona erdiği tarihten ödeme tarihine kadar geçen süre için yasal FAİZ UYGULANMASINA, </w:t>
      </w:r>
    </w:p>
    <w:p w:rsidR="00E8404A" w:rsidRDefault="00E8404A">
      <w:pPr>
        <w:tabs>
          <w:tab w:val="left" w:pos="1280"/>
        </w:tabs>
        <w:spacing w:line="288" w:lineRule="exact"/>
        <w:ind w:firstLine="857"/>
        <w:jc w:val="both"/>
      </w:pPr>
    </w:p>
    <w:p w:rsidR="00E8404A" w:rsidRDefault="00E8404A" w:rsidP="00C56D2F">
      <w:pPr>
        <w:tabs>
          <w:tab w:val="left" w:pos="1280"/>
        </w:tabs>
        <w:spacing w:line="288" w:lineRule="exact"/>
        <w:ind w:firstLine="857"/>
        <w:jc w:val="both"/>
      </w:pPr>
      <w:r>
        <w:t>J.</w:t>
      </w:r>
      <w:r w:rsidR="00C56D2F">
        <w:tab/>
      </w:r>
      <w:r>
        <w:t>Kararın bir örneğinin Adalet Bakanlığına GÖNDERİLMESİNE 12/11/2019 tarihinde OYBİRLİĞİYLE karar verildi.</w:t>
      </w:r>
      <w:bookmarkStart w:id="0" w:name="_GoBack"/>
      <w:bookmarkEnd w:id="0"/>
      <w:r w:rsidR="00C56D2F">
        <w:t xml:space="preserve"> </w:t>
      </w:r>
    </w:p>
    <w:p w:rsidR="00E8404A" w:rsidRDefault="00E8404A">
      <w:pPr>
        <w:pStyle w:val="edf1393440552765"/>
        <w:spacing w:line="288" w:lineRule="exact"/>
        <w:ind w:firstLine="857"/>
        <w:jc w:val="both"/>
      </w:pPr>
    </w:p>
    <w:sectPr w:rsidR="00E8404A" w:rsidSect="00C56D2F">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18DB" w:rsidRDefault="004118DB">
      <w:r>
        <w:separator/>
      </w:r>
    </w:p>
  </w:endnote>
  <w:endnote w:type="continuationSeparator" w:id="0">
    <w:p w:rsidR="004118DB" w:rsidRDefault="00411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04A" w:rsidRDefault="00E8404A">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C56D2F">
      <w:rPr>
        <w:noProof/>
        <w:color w:val="000000"/>
        <w:sz w:val="22"/>
      </w:rPr>
      <w:t>12</w:t>
    </w:r>
    <w:r>
      <w:rPr>
        <w:color w:val="000000"/>
        <w:sz w:val="22"/>
      </w:rPr>
      <w:fldChar w:fldCharType="end"/>
    </w:r>
  </w:p>
  <w:p w:rsidR="00E8404A" w:rsidRDefault="00E8404A">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18DB" w:rsidRDefault="004118DB">
      <w:r>
        <w:separator/>
      </w:r>
    </w:p>
  </w:footnote>
  <w:footnote w:type="continuationSeparator" w:id="0">
    <w:p w:rsidR="004118DB" w:rsidRDefault="004118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404A" w:rsidRDefault="00E8404A">
    <w:pPr>
      <w:pStyle w:val="stbilgi"/>
      <w:tabs>
        <w:tab w:val="left" w:pos="2020"/>
      </w:tabs>
      <w:spacing w:line="288" w:lineRule="exact"/>
    </w:pPr>
    <w:r>
      <w:t>Başvuru Numarası</w:t>
    </w:r>
    <w:r>
      <w:tab/>
      <w:t>: 2016/4317</w:t>
    </w:r>
  </w:p>
  <w:p w:rsidR="00E8404A" w:rsidRDefault="00C56D2F" w:rsidP="00C56D2F">
    <w:pPr>
      <w:pStyle w:val="stbilgi"/>
      <w:tabs>
        <w:tab w:val="left" w:pos="2020"/>
      </w:tabs>
      <w:spacing w:line="288" w:lineRule="exact"/>
    </w:pPr>
    <w:r>
      <w:t>Karar Tarihi</w:t>
    </w:r>
    <w:r>
      <w:tab/>
    </w:r>
    <w:r w:rsidR="00E8404A">
      <w:t xml:space="preserve">: </w:t>
    </w:r>
    <w:proofErr w:type="gramStart"/>
    <w:r w:rsidR="00E8404A">
      <w:t>12/11/2019</w:t>
    </w:r>
    <w:proofErr w:type="gramEnd"/>
  </w:p>
  <w:p w:rsidR="00C56D2F" w:rsidRDefault="00C56D2F" w:rsidP="00C56D2F">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E0F"/>
    <w:rsid w:val="004118DB"/>
    <w:rsid w:val="00477381"/>
    <w:rsid w:val="00600A27"/>
    <w:rsid w:val="00743E0F"/>
    <w:rsid w:val="00C56D2F"/>
    <w:rsid w:val="00E8404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3BA43C0A-5D17-4CAD-A5BC-CB9ADEDF4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pPr>
      <w:keepNext/>
      <w:suppressLineNumbers/>
      <w:spacing w:before="120" w:after="120"/>
    </w:pPr>
    <w:rPr>
      <w:rFonts w:ascii="Arial" w:eastAsia="MS PGothic" w:hAnsi="Arial" w:cs="Tahoma"/>
      <w:i/>
      <w:iCs/>
    </w:rPr>
  </w:style>
  <w:style w:type="paragraph" w:styleId="GvdeMetni">
    <w:name w:val="Body Text"/>
    <w:basedOn w:val="Normal"/>
    <w:pPr>
      <w:spacing w:after="120"/>
    </w:pPr>
  </w:style>
  <w:style w:type="paragraph" w:styleId="KonuBal">
    <w:name w:val="Title"/>
    <w:basedOn w:val="Balk"/>
    <w:next w:val="Altyaz"/>
    <w:qFormat/>
  </w:style>
  <w:style w:type="paragraph" w:styleId="Altyaz">
    <w:name w:val="Subtitle"/>
    <w:basedOn w:val="Balk"/>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7460594445">
    <w:name w:val="edf_1427460594445"/>
    <w:pPr>
      <w:widowControl w:val="0"/>
      <w:suppressAutoHyphens/>
    </w:pPr>
    <w:rPr>
      <w:rFonts w:eastAsia="Andale Sans UI" w:cs="Tahoma"/>
      <w:kern w:val="1"/>
      <w:sz w:val="24"/>
      <w:szCs w:val="24"/>
      <w:lang w:eastAsia="fa-IR" w:bidi="fa-IR"/>
    </w:rPr>
  </w:style>
  <w:style w:type="paragraph" w:customStyle="1" w:styleId="edf1385627453728">
    <w:name w:val="edf_1385627453728"/>
    <w:pPr>
      <w:widowControl w:val="0"/>
      <w:suppressAutoHyphens/>
    </w:pPr>
    <w:rPr>
      <w:rFonts w:eastAsia="Andale Sans UI" w:cs="Tahoma"/>
      <w:kern w:val="1"/>
      <w:sz w:val="24"/>
      <w:szCs w:val="24"/>
      <w:lang w:eastAsia="fa-IR" w:bidi="fa-IR"/>
    </w:rPr>
  </w:style>
  <w:style w:type="paragraph" w:customStyle="1" w:styleId="edf1450447605983">
    <w:name w:val="edf_1450447605983"/>
    <w:pPr>
      <w:widowControl w:val="0"/>
      <w:suppressAutoHyphens/>
    </w:pPr>
    <w:rPr>
      <w:rFonts w:eastAsia="Andale Sans UI" w:cs="Tahoma"/>
      <w:kern w:val="1"/>
      <w:sz w:val="24"/>
      <w:szCs w:val="24"/>
      <w:lang w:eastAsia="fa-IR" w:bidi="fa-IR"/>
    </w:rPr>
  </w:style>
  <w:style w:type="paragraph" w:customStyle="1" w:styleId="edf1441376463428">
    <w:name w:val="edf_1441376463428"/>
    <w:pPr>
      <w:widowControl w:val="0"/>
      <w:suppressAutoHyphens/>
    </w:pPr>
    <w:rPr>
      <w:rFonts w:eastAsia="Andale Sans UI" w:cs="Tahoma"/>
      <w:kern w:val="1"/>
      <w:sz w:val="24"/>
      <w:szCs w:val="24"/>
      <w:lang w:eastAsia="fa-IR" w:bidi="fa-IR"/>
    </w:rPr>
  </w:style>
  <w:style w:type="paragraph" w:customStyle="1" w:styleId="edf1450252723918">
    <w:name w:val="edf_1450252723918"/>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35396181">
    <w:name w:val="edf_1449435396181"/>
    <w:pPr>
      <w:widowControl w:val="0"/>
      <w:suppressAutoHyphens/>
    </w:pPr>
    <w:rPr>
      <w:rFonts w:eastAsia="Andale Sans UI" w:cs="Tahoma"/>
      <w:kern w:val="1"/>
      <w:sz w:val="24"/>
      <w:szCs w:val="24"/>
      <w:lang w:eastAsia="fa-IR" w:bidi="fa-IR"/>
    </w:rPr>
  </w:style>
  <w:style w:type="paragraph" w:customStyle="1" w:styleId="edf1435131553531">
    <w:name w:val="edf_1435131553531"/>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82513817701">
    <w:name w:val="edf_1482513817701"/>
    <w:pPr>
      <w:widowControl w:val="0"/>
      <w:suppressAutoHyphens/>
    </w:pPr>
    <w:rPr>
      <w:rFonts w:eastAsia="Andale Sans UI" w:cs="Tahoma"/>
      <w:kern w:val="1"/>
      <w:sz w:val="24"/>
      <w:szCs w:val="24"/>
      <w:lang w:eastAsia="fa-IR" w:bidi="fa-IR"/>
    </w:rPr>
  </w:style>
  <w:style w:type="paragraph" w:customStyle="1" w:styleId="edf1367307257646">
    <w:name w:val="edf_1367307257646"/>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62366472141">
    <w:name w:val="edf_1462366472141"/>
    <w:pPr>
      <w:widowControl w:val="0"/>
      <w:suppressAutoHyphens/>
    </w:pPr>
    <w:rPr>
      <w:rFonts w:eastAsia="Andale Sans UI" w:cs="Tahoma"/>
      <w:kern w:val="1"/>
      <w:sz w:val="24"/>
      <w:szCs w:val="24"/>
      <w:lang w:eastAsia="fa-IR" w:bidi="fa-IR"/>
    </w:rPr>
  </w:style>
  <w:style w:type="paragraph" w:customStyle="1" w:styleId="edf1389858572439">
    <w:name w:val="edf_1389858572439"/>
    <w:pPr>
      <w:widowControl w:val="0"/>
      <w:suppressAutoHyphens/>
    </w:pPr>
    <w:rPr>
      <w:rFonts w:ascii="Dialog" w:eastAsia="Andale Sans UI" w:hAnsi="Dialog" w:cs="Tahoma"/>
      <w:color w:val="000000"/>
      <w:kern w:val="1"/>
      <w:sz w:val="28"/>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85627472073">
    <w:name w:val="edf_1385627472073"/>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4250365886">
    <w:name w:val="edf_1464250365886"/>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464250365882">
    <w:name w:val="edf_1464250365882"/>
    <w:pPr>
      <w:widowControl w:val="0"/>
      <w:suppressAutoHyphens/>
    </w:pPr>
    <w:rPr>
      <w:rFonts w:eastAsia="Andale Sans UI" w:cs="Tahoma"/>
      <w:kern w:val="1"/>
      <w:sz w:val="24"/>
      <w:szCs w:val="24"/>
      <w:lang w:eastAsia="fa-IR" w:bidi="fa-IR"/>
    </w:rPr>
  </w:style>
  <w:style w:type="paragraph" w:customStyle="1" w:styleId="edf1450348364538">
    <w:name w:val="edf_1450348364538"/>
    <w:pPr>
      <w:widowControl w:val="0"/>
      <w:suppressAutoHyphens/>
    </w:pPr>
    <w:rPr>
      <w:rFonts w:eastAsia="Andale Sans UI" w:cs="Tahoma"/>
      <w:kern w:val="1"/>
      <w:sz w:val="24"/>
      <w:szCs w:val="24"/>
      <w:lang w:eastAsia="fa-IR" w:bidi="fa-IR"/>
    </w:rPr>
  </w:style>
  <w:style w:type="paragraph" w:customStyle="1" w:styleId="edf1450348373182">
    <w:name w:val="edf_1450348373182"/>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5117</Words>
  <Characters>29170</Characters>
  <Application>Microsoft Office Word</Application>
  <DocSecurity>0</DocSecurity>
  <Lines>243</Lines>
  <Paragraphs>68</Paragraphs>
  <ScaleCrop>false</ScaleCrop>
  <HeadingPairs>
    <vt:vector size="2" baseType="variant">
      <vt:variant>
        <vt:lpstr>Konu Başlığı</vt:lpstr>
      </vt:variant>
      <vt:variant>
        <vt:i4>1</vt:i4>
      </vt:variant>
    </vt:vector>
  </HeadingPairs>
  <TitlesOfParts>
    <vt:vector size="1" baseType="lpstr">
      <vt:lpstr/>
    </vt:vector>
  </TitlesOfParts>
  <Company>Adalet</Company>
  <LinksUpToDate>false</LinksUpToDate>
  <CharactersWithSpaces>34219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ab184652</dc:creator>
  <cp:keywords/>
  <cp:lastModifiedBy>Samil ESSIZ</cp:lastModifiedBy>
  <cp:revision>3</cp:revision>
  <cp:lastPrinted>1899-12-31T21:00:00Z</cp:lastPrinted>
  <dcterms:created xsi:type="dcterms:W3CDTF">2019-12-03T05:30:00Z</dcterms:created>
  <dcterms:modified xsi:type="dcterms:W3CDTF">2020-01-06T10:51:00Z</dcterms:modified>
</cp:coreProperties>
</file>