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656DF3" w:rsidRDefault="00656DF3" w:rsidP="00656DF3">
      <w:pPr>
        <w:widowControl/>
        <w:suppressAutoHyphens w:val="0"/>
        <w:spacing w:after="200"/>
        <w:ind w:left="283" w:right="283" w:firstLine="567"/>
        <w:jc w:val="both"/>
        <w:rPr>
          <w:b/>
          <w:color w:val="010000"/>
          <w:sz w:val="28"/>
        </w:rPr>
      </w:pPr>
    </w:p>
    <w:p w:rsidR="00656DF3" w:rsidRDefault="00656DF3" w:rsidP="00656DF3">
      <w:pPr>
        <w:widowControl/>
        <w:suppressAutoHyphens w:val="0"/>
        <w:spacing w:after="200"/>
        <w:ind w:left="283" w:right="283" w:firstLine="567"/>
        <w:jc w:val="both"/>
        <w:rPr>
          <w:b/>
          <w:color w:val="010000"/>
          <w:sz w:val="28"/>
        </w:rPr>
      </w:pPr>
    </w:p>
    <w:p w:rsidR="00656DF3" w:rsidRDefault="00656DF3" w:rsidP="00656DF3">
      <w:pPr>
        <w:widowControl/>
        <w:suppressAutoHyphens w:val="0"/>
        <w:spacing w:after="200"/>
        <w:ind w:left="283" w:right="283" w:firstLine="567"/>
        <w:jc w:val="both"/>
        <w:rPr>
          <w:b/>
          <w:color w:val="010000"/>
          <w:sz w:val="28"/>
        </w:rPr>
      </w:pPr>
    </w:p>
    <w:p w:rsidR="00656DF3" w:rsidRDefault="00656DF3" w:rsidP="00656DF3">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sz w:val="28"/>
              </w:rPr>
            </w:pPr>
            <w:r>
              <w:rPr>
                <w:b/>
                <w:color w:val="010000"/>
                <w:sz w:val="28"/>
              </w:rPr>
              <w:t>TÜRKİYE CUMHURİYETİ</w:t>
            </w: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sz w:val="32"/>
              </w:rPr>
            </w:pPr>
            <w:r>
              <w:rPr>
                <w:b/>
                <w:color w:val="010000"/>
                <w:sz w:val="32"/>
              </w:rPr>
              <w:t>ANAYASA MAHKEMESİ</w:t>
            </w: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r>
              <w:rPr>
                <w:b/>
                <w:color w:val="010000"/>
              </w:rPr>
              <w:t>İKİNCİ BÖLÜM</w:t>
            </w: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r>
              <w:rPr>
                <w:b/>
                <w:color w:val="010000"/>
              </w:rPr>
              <w:t>KARAR</w:t>
            </w: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r>
              <w:rPr>
                <w:b/>
                <w:color w:val="010000"/>
              </w:rPr>
              <w:t>AKİF SALUR VE DİĞERLERİ BAŞVURUSU</w:t>
            </w: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color w:val="010000"/>
              </w:rPr>
            </w:pPr>
            <w:r>
              <w:rPr>
                <w:color w:val="010000"/>
              </w:rPr>
              <w:t>(Başvuru Numarası: 2018/1497)</w:t>
            </w: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color w:val="010000"/>
              </w:rPr>
            </w:pPr>
            <w:r>
              <w:rPr>
                <w:color w:val="010000"/>
              </w:rPr>
              <w:t>Karar Tarihi: 30/9/2020</w:t>
            </w: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color w:val="010000"/>
              </w:rPr>
            </w:pP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p>
        </w:tc>
      </w:tr>
      <w:tr w:rsidR="00656DF3" w:rsidRPr="00656DF3" w:rsidTr="00656DF3">
        <w:trPr>
          <w:trHeight w:val="500"/>
          <w:jc w:val="center"/>
        </w:trPr>
        <w:tc>
          <w:tcPr>
            <w:tcW w:w="9072" w:type="dxa"/>
            <w:vAlign w:val="center"/>
          </w:tcPr>
          <w:p w:rsidR="00656DF3" w:rsidRPr="00656DF3" w:rsidRDefault="00656DF3" w:rsidP="00656DF3">
            <w:pPr>
              <w:widowControl/>
              <w:suppressAutoHyphens w:val="0"/>
              <w:spacing w:after="200"/>
              <w:ind w:right="283"/>
              <w:jc w:val="center"/>
              <w:rPr>
                <w:b/>
                <w:color w:val="010000"/>
              </w:rPr>
            </w:pPr>
          </w:p>
        </w:tc>
      </w:tr>
    </w:tbl>
    <w:p w:rsidR="00656DF3" w:rsidRDefault="00656DF3" w:rsidP="00656DF3">
      <w:pPr>
        <w:widowControl/>
        <w:suppressAutoHyphens w:val="0"/>
        <w:spacing w:after="200"/>
        <w:ind w:left="283" w:right="283" w:firstLine="567"/>
        <w:jc w:val="both"/>
        <w:rPr>
          <w:b/>
          <w:color w:val="010000"/>
        </w:rPr>
        <w:sectPr w:rsidR="00656DF3" w:rsidSect="00656DF3">
          <w:headerReference w:type="default" r:id="rId6"/>
          <w:footerReference w:type="default" r:id="rId7"/>
          <w:pgSz w:w="11906" w:h="16838"/>
          <w:pgMar w:top="976" w:right="1417" w:bottom="941" w:left="1417" w:header="400" w:footer="400" w:gutter="0"/>
          <w:cols w:space="708"/>
          <w:titlePg/>
          <w:docGrid w:linePitch="326"/>
        </w:sectPr>
      </w:pPr>
    </w:p>
    <w:p w:rsidR="00656DF3" w:rsidRDefault="00656DF3" w:rsidP="00656DF3">
      <w:pPr>
        <w:widowControl/>
        <w:suppressAutoHyphens w:val="0"/>
        <w:spacing w:after="200"/>
        <w:ind w:left="283" w:right="283" w:firstLine="567"/>
        <w:jc w:val="both"/>
        <w:rPr>
          <w:b/>
          <w:color w:val="010000"/>
        </w:rPr>
      </w:pPr>
    </w:p>
    <w:p w:rsidR="00654E3A" w:rsidRPr="00656DF3" w:rsidRDefault="00654E3A" w:rsidP="00656DF3">
      <w:pPr>
        <w:widowControl/>
        <w:suppressAutoHyphens w:val="0"/>
        <w:spacing w:after="200"/>
        <w:ind w:left="283" w:right="283" w:firstLine="1"/>
        <w:jc w:val="center"/>
        <w:rPr>
          <w:b/>
          <w:color w:val="010000"/>
        </w:rPr>
      </w:pPr>
      <w:r w:rsidRPr="00656DF3">
        <w:rPr>
          <w:b/>
          <w:color w:val="010000"/>
        </w:rPr>
        <w:t>İKİNCİ BÖLÜM</w:t>
      </w:r>
    </w:p>
    <w:p w:rsidR="00654E3A" w:rsidRPr="00656DF3" w:rsidRDefault="00654E3A" w:rsidP="00656DF3">
      <w:pPr>
        <w:widowControl/>
        <w:suppressAutoHyphens w:val="0"/>
        <w:spacing w:after="200"/>
        <w:ind w:left="283" w:right="283" w:firstLine="1"/>
        <w:jc w:val="center"/>
        <w:rPr>
          <w:b/>
          <w:color w:val="010000"/>
        </w:rPr>
      </w:pPr>
      <w:r w:rsidRPr="00656DF3">
        <w:rPr>
          <w:b/>
          <w:color w:val="010000"/>
        </w:rPr>
        <w:t>KARAR</w:t>
      </w:r>
    </w:p>
    <w:p w:rsidR="004533F4" w:rsidRDefault="004533F4" w:rsidP="00656DF3">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r w:rsidRPr="004533F4">
              <w:rPr>
                <w:b/>
                <w:color w:val="010000"/>
              </w:rPr>
              <w:t>Başkan</w:t>
            </w:r>
          </w:p>
        </w:tc>
        <w:tc>
          <w:tcPr>
            <w:tcW w:w="200" w:type="dxa"/>
          </w:tcPr>
          <w:p w:rsidR="004533F4" w:rsidRPr="004533F4" w:rsidRDefault="004533F4" w:rsidP="004533F4">
            <w:pPr>
              <w:widowControl/>
              <w:suppressAutoHyphens w:val="0"/>
              <w:rPr>
                <w:b/>
                <w:color w:val="010000"/>
              </w:rPr>
            </w:pPr>
            <w:r w:rsidRPr="004533F4">
              <w:rPr>
                <w:b/>
                <w:color w:val="010000"/>
              </w:rPr>
              <w:t>:</w:t>
            </w:r>
          </w:p>
        </w:tc>
        <w:tc>
          <w:tcPr>
            <w:tcW w:w="5400" w:type="dxa"/>
          </w:tcPr>
          <w:p w:rsidR="004533F4" w:rsidRPr="004533F4" w:rsidRDefault="004533F4" w:rsidP="004533F4">
            <w:pPr>
              <w:widowControl/>
              <w:suppressAutoHyphens w:val="0"/>
              <w:rPr>
                <w:color w:val="010000"/>
              </w:rPr>
            </w:pPr>
            <w:r w:rsidRPr="004533F4">
              <w:rPr>
                <w:color w:val="010000"/>
              </w:rPr>
              <w:t>Kadir ÖZKAYA</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r w:rsidRPr="004533F4">
              <w:rPr>
                <w:b/>
                <w:color w:val="010000"/>
              </w:rPr>
              <w:t>Üyeler</w:t>
            </w:r>
          </w:p>
        </w:tc>
        <w:tc>
          <w:tcPr>
            <w:tcW w:w="200" w:type="dxa"/>
          </w:tcPr>
          <w:p w:rsidR="004533F4" w:rsidRPr="004533F4" w:rsidRDefault="004533F4" w:rsidP="004533F4">
            <w:pPr>
              <w:widowControl/>
              <w:suppressAutoHyphens w:val="0"/>
              <w:rPr>
                <w:b/>
                <w:color w:val="010000"/>
              </w:rPr>
            </w:pPr>
            <w:r w:rsidRPr="004533F4">
              <w:rPr>
                <w:b/>
                <w:color w:val="010000"/>
              </w:rPr>
              <w:t>:</w:t>
            </w:r>
          </w:p>
        </w:tc>
        <w:tc>
          <w:tcPr>
            <w:tcW w:w="5400" w:type="dxa"/>
          </w:tcPr>
          <w:p w:rsidR="004533F4" w:rsidRPr="004533F4" w:rsidRDefault="004533F4" w:rsidP="004533F4">
            <w:pPr>
              <w:widowControl/>
              <w:suppressAutoHyphens w:val="0"/>
              <w:rPr>
                <w:color w:val="010000"/>
              </w:rPr>
            </w:pPr>
            <w:r w:rsidRPr="004533F4">
              <w:rPr>
                <w:color w:val="010000"/>
              </w:rPr>
              <w:t>M. Emin KUZ</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Rıdvan GÜLEÇ</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Yıldız SEFERİNOĞLU</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Basri BAĞCI</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r w:rsidRPr="004533F4">
              <w:rPr>
                <w:b/>
                <w:color w:val="010000"/>
              </w:rPr>
              <w:t>Raportör</w:t>
            </w:r>
          </w:p>
        </w:tc>
        <w:tc>
          <w:tcPr>
            <w:tcW w:w="200" w:type="dxa"/>
          </w:tcPr>
          <w:p w:rsidR="004533F4" w:rsidRPr="004533F4" w:rsidRDefault="004533F4" w:rsidP="004533F4">
            <w:pPr>
              <w:widowControl/>
              <w:suppressAutoHyphens w:val="0"/>
              <w:rPr>
                <w:b/>
                <w:color w:val="010000"/>
              </w:rPr>
            </w:pPr>
            <w:r w:rsidRPr="004533F4">
              <w:rPr>
                <w:b/>
                <w:color w:val="010000"/>
              </w:rPr>
              <w:t>:</w:t>
            </w:r>
          </w:p>
        </w:tc>
        <w:tc>
          <w:tcPr>
            <w:tcW w:w="5400" w:type="dxa"/>
          </w:tcPr>
          <w:p w:rsidR="004533F4" w:rsidRPr="004533F4" w:rsidRDefault="004533F4" w:rsidP="004533F4">
            <w:pPr>
              <w:widowControl/>
              <w:suppressAutoHyphens w:val="0"/>
              <w:rPr>
                <w:color w:val="010000"/>
              </w:rPr>
            </w:pPr>
            <w:r w:rsidRPr="004533F4">
              <w:rPr>
                <w:color w:val="010000"/>
              </w:rPr>
              <w:t>Eren Can BENAKAY</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r w:rsidRPr="004533F4">
              <w:rPr>
                <w:b/>
                <w:color w:val="010000"/>
              </w:rPr>
              <w:t>Başvurucular</w:t>
            </w:r>
          </w:p>
        </w:tc>
        <w:tc>
          <w:tcPr>
            <w:tcW w:w="200" w:type="dxa"/>
          </w:tcPr>
          <w:p w:rsidR="004533F4" w:rsidRPr="004533F4" w:rsidRDefault="004533F4" w:rsidP="004533F4">
            <w:pPr>
              <w:widowControl/>
              <w:suppressAutoHyphens w:val="0"/>
              <w:rPr>
                <w:b/>
                <w:color w:val="010000"/>
              </w:rPr>
            </w:pPr>
            <w:r w:rsidRPr="004533F4">
              <w:rPr>
                <w:b/>
                <w:color w:val="010000"/>
              </w:rPr>
              <w:t>:</w:t>
            </w:r>
          </w:p>
        </w:tc>
        <w:tc>
          <w:tcPr>
            <w:tcW w:w="5400" w:type="dxa"/>
          </w:tcPr>
          <w:p w:rsidR="004533F4" w:rsidRPr="004533F4" w:rsidRDefault="004533F4" w:rsidP="004533F4">
            <w:pPr>
              <w:widowControl/>
              <w:suppressAutoHyphens w:val="0"/>
              <w:rPr>
                <w:color w:val="010000"/>
              </w:rPr>
            </w:pPr>
            <w:r w:rsidRPr="004533F4">
              <w:rPr>
                <w:color w:val="010000"/>
              </w:rPr>
              <w:t>1. Akif SALUR</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2. Ali YILMAZ</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3. Ayşe ALİM</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4. Ayşe ÖZBEK</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5. Barış ÇELİK</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6. Bedrettin YAVRUTÜRK</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7. Duygu ÇAĞATAY</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8. Erkan BOZAN</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9. Fırat BATMAZ</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10. Hatice GÜNGÖR UÇAR</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11. Hülya KULAN</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12. Kenan ERASLAN</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13. Mahmut ÖZAYDIN</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14. Mehmet AYDIN</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 xml:space="preserve">15. </w:t>
            </w:r>
            <w:proofErr w:type="spellStart"/>
            <w:r w:rsidRPr="004533F4">
              <w:rPr>
                <w:color w:val="010000"/>
              </w:rPr>
              <w:t>Mevlüt</w:t>
            </w:r>
            <w:proofErr w:type="spellEnd"/>
            <w:r w:rsidRPr="004533F4">
              <w:rPr>
                <w:color w:val="010000"/>
              </w:rPr>
              <w:t xml:space="preserve"> POLAT</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16. Mustafa GEDİKOĞLU</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17. Mustafa KILIÇ</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18. Nurettin YAVRUTÜRK</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19. Orhan ÖZTURAN</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20. Ömer BEKLER</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21. Ömer KILINÇER</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22. Öner ÖNAL</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23. Özlem ÇELEBİ</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24. Remzi KAYA</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25. Sedat KARAER</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26. Sedat SİNCAR</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 xml:space="preserve">27. </w:t>
            </w:r>
            <w:proofErr w:type="spellStart"/>
            <w:r w:rsidRPr="004533F4">
              <w:rPr>
                <w:color w:val="010000"/>
              </w:rPr>
              <w:t>Selcen</w:t>
            </w:r>
            <w:proofErr w:type="spellEnd"/>
            <w:r w:rsidRPr="004533F4">
              <w:rPr>
                <w:color w:val="010000"/>
              </w:rPr>
              <w:t xml:space="preserve"> İPEK</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 xml:space="preserve">28. </w:t>
            </w:r>
            <w:proofErr w:type="spellStart"/>
            <w:r w:rsidRPr="004533F4">
              <w:rPr>
                <w:color w:val="010000"/>
              </w:rPr>
              <w:t>Serdal</w:t>
            </w:r>
            <w:proofErr w:type="spellEnd"/>
            <w:r w:rsidRPr="004533F4">
              <w:rPr>
                <w:color w:val="010000"/>
              </w:rPr>
              <w:t xml:space="preserve"> AŞÇI</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29. Serhan TEKİN</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30. Taner YILMAZ</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 xml:space="preserve">31. </w:t>
            </w:r>
            <w:proofErr w:type="spellStart"/>
            <w:r w:rsidRPr="004533F4">
              <w:rPr>
                <w:color w:val="010000"/>
              </w:rPr>
              <w:t>Turğut</w:t>
            </w:r>
            <w:proofErr w:type="spellEnd"/>
            <w:r w:rsidRPr="004533F4">
              <w:rPr>
                <w:color w:val="010000"/>
              </w:rPr>
              <w:t xml:space="preserve"> SALMAN</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32. Ülkü Ebru PERVANE</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33. Vedat MERTER</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34. Vedat ŞAHİN</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35. Yahya KÜÇÜKYOL</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36. Yalçın KAYA</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37. Yücel KESER</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38. Zafer Öztürk BULUT</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 xml:space="preserve">39. </w:t>
            </w:r>
            <w:proofErr w:type="spellStart"/>
            <w:r w:rsidRPr="004533F4">
              <w:rPr>
                <w:color w:val="010000"/>
              </w:rPr>
              <w:t>Zeyneddin</w:t>
            </w:r>
            <w:proofErr w:type="spellEnd"/>
            <w:r w:rsidRPr="004533F4">
              <w:rPr>
                <w:color w:val="010000"/>
              </w:rPr>
              <w:t xml:space="preserve"> ÖNER</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p>
        </w:tc>
        <w:tc>
          <w:tcPr>
            <w:tcW w:w="200" w:type="dxa"/>
          </w:tcPr>
          <w:p w:rsidR="004533F4" w:rsidRPr="004533F4" w:rsidRDefault="004533F4" w:rsidP="004533F4">
            <w:pPr>
              <w:widowControl/>
              <w:suppressAutoHyphens w:val="0"/>
              <w:rPr>
                <w:b/>
                <w:color w:val="010000"/>
              </w:rPr>
            </w:pPr>
          </w:p>
        </w:tc>
        <w:tc>
          <w:tcPr>
            <w:tcW w:w="5400" w:type="dxa"/>
          </w:tcPr>
          <w:p w:rsidR="004533F4" w:rsidRPr="004533F4" w:rsidRDefault="004533F4" w:rsidP="004533F4">
            <w:pPr>
              <w:widowControl/>
              <w:suppressAutoHyphens w:val="0"/>
              <w:rPr>
                <w:color w:val="010000"/>
              </w:rPr>
            </w:pPr>
            <w:r w:rsidRPr="004533F4">
              <w:rPr>
                <w:color w:val="010000"/>
              </w:rPr>
              <w:t>40. Emel TURGUT</w:t>
            </w:r>
          </w:p>
        </w:tc>
      </w:tr>
      <w:tr w:rsidR="004533F4" w:rsidRPr="004533F4" w:rsidTr="004533F4">
        <w:tblPrEx>
          <w:tblCellMar>
            <w:top w:w="0" w:type="dxa"/>
            <w:bottom w:w="0" w:type="dxa"/>
          </w:tblCellMar>
        </w:tblPrEx>
        <w:trPr>
          <w:trHeight w:val="454"/>
        </w:trPr>
        <w:tc>
          <w:tcPr>
            <w:tcW w:w="2400" w:type="dxa"/>
          </w:tcPr>
          <w:p w:rsidR="004533F4" w:rsidRPr="004533F4" w:rsidRDefault="004533F4" w:rsidP="004533F4">
            <w:pPr>
              <w:widowControl/>
              <w:suppressAutoHyphens w:val="0"/>
              <w:rPr>
                <w:b/>
                <w:color w:val="010000"/>
              </w:rPr>
            </w:pPr>
            <w:r w:rsidRPr="004533F4">
              <w:rPr>
                <w:b/>
                <w:color w:val="010000"/>
              </w:rPr>
              <w:t>Başvurucular Vekili</w:t>
            </w:r>
          </w:p>
        </w:tc>
        <w:tc>
          <w:tcPr>
            <w:tcW w:w="200" w:type="dxa"/>
          </w:tcPr>
          <w:p w:rsidR="004533F4" w:rsidRPr="004533F4" w:rsidRDefault="004533F4" w:rsidP="004533F4">
            <w:pPr>
              <w:widowControl/>
              <w:suppressAutoHyphens w:val="0"/>
              <w:rPr>
                <w:b/>
                <w:color w:val="010000"/>
              </w:rPr>
            </w:pPr>
            <w:r w:rsidRPr="004533F4">
              <w:rPr>
                <w:b/>
                <w:color w:val="010000"/>
              </w:rPr>
              <w:t>:</w:t>
            </w:r>
          </w:p>
        </w:tc>
        <w:tc>
          <w:tcPr>
            <w:tcW w:w="5400" w:type="dxa"/>
          </w:tcPr>
          <w:p w:rsidR="004533F4" w:rsidRPr="004533F4" w:rsidRDefault="004533F4" w:rsidP="004533F4">
            <w:pPr>
              <w:widowControl/>
              <w:suppressAutoHyphens w:val="0"/>
              <w:rPr>
                <w:color w:val="010000"/>
              </w:rPr>
            </w:pPr>
            <w:r w:rsidRPr="004533F4">
              <w:rPr>
                <w:color w:val="010000"/>
              </w:rPr>
              <w:t>Av. Can KARGIN</w:t>
            </w:r>
          </w:p>
        </w:tc>
      </w:tr>
    </w:tbl>
    <w:p w:rsidR="004533F4" w:rsidRDefault="004533F4" w:rsidP="00656DF3">
      <w:pPr>
        <w:widowControl/>
        <w:suppressAutoHyphens w:val="0"/>
        <w:spacing w:after="200"/>
        <w:ind w:left="283" w:right="283" w:firstLine="567"/>
        <w:jc w:val="both"/>
        <w:rPr>
          <w:b/>
          <w:color w:val="010000"/>
        </w:rPr>
      </w:pPr>
    </w:p>
    <w:p w:rsidR="00654E3A" w:rsidRPr="00656DF3" w:rsidRDefault="00654E3A" w:rsidP="00656DF3">
      <w:pPr>
        <w:widowControl/>
        <w:suppressAutoHyphens w:val="0"/>
        <w:spacing w:after="200"/>
        <w:ind w:left="283" w:right="283" w:firstLine="567"/>
        <w:jc w:val="both"/>
        <w:rPr>
          <w:b/>
          <w:color w:val="010000"/>
        </w:rPr>
      </w:pPr>
      <w:bookmarkStart w:id="0" w:name="_GoBack"/>
      <w:bookmarkEnd w:id="0"/>
      <w:r w:rsidRPr="00656DF3">
        <w:rPr>
          <w:b/>
          <w:color w:val="010000"/>
        </w:rPr>
        <w:t>I.</w:t>
      </w:r>
      <w:r w:rsidR="00656DF3" w:rsidRPr="00656DF3">
        <w:rPr>
          <w:color w:val="010000"/>
        </w:rPr>
        <w:t xml:space="preserve"> </w:t>
      </w:r>
      <w:r w:rsidRPr="00656DF3">
        <w:rPr>
          <w:b/>
          <w:color w:val="010000"/>
        </w:rPr>
        <w:t>BAŞVURUNUN KONUSU</w:t>
      </w:r>
    </w:p>
    <w:p w:rsidR="00654E3A" w:rsidRPr="00656DF3" w:rsidRDefault="00654E3A" w:rsidP="00656DF3">
      <w:pPr>
        <w:pStyle w:val="edf1450279197849"/>
        <w:widowControl/>
        <w:suppressAutoHyphens w:val="0"/>
        <w:spacing w:after="200"/>
        <w:ind w:left="283" w:right="283" w:firstLine="567"/>
        <w:jc w:val="both"/>
        <w:rPr>
          <w:rFonts w:cs="Times New Roman"/>
          <w:color w:val="010000"/>
        </w:rPr>
      </w:pPr>
      <w:r w:rsidRPr="00656DF3">
        <w:rPr>
          <w:rFonts w:cs="Times New Roman"/>
          <w:color w:val="010000"/>
        </w:rPr>
        <w:t>1.</w:t>
      </w:r>
      <w:r w:rsidR="00656DF3" w:rsidRPr="00656DF3">
        <w:rPr>
          <w:rFonts w:cs="Times New Roman"/>
          <w:color w:val="010000"/>
        </w:rPr>
        <w:t xml:space="preserve"> </w:t>
      </w:r>
      <w:r w:rsidRPr="00656DF3">
        <w:rPr>
          <w:rFonts w:cs="Times New Roman"/>
          <w:color w:val="010000"/>
        </w:rPr>
        <w:t>Başvuru, ilave tediye alacağının tahsili amacıyla açılan davanın Yargıtay daireleri arasında süregelen görüş ayrılığı dolayısıyla reddedilmesi nedeniyle adil yargılanma hakkının ihlal edildiği iddiasına ilişkindir.</w:t>
      </w:r>
    </w:p>
    <w:p w:rsidR="00654E3A" w:rsidRPr="00656DF3" w:rsidRDefault="00654E3A" w:rsidP="00656DF3">
      <w:pPr>
        <w:widowControl/>
        <w:suppressAutoHyphens w:val="0"/>
        <w:spacing w:after="200"/>
        <w:ind w:left="283" w:right="283" w:firstLine="567"/>
        <w:jc w:val="both"/>
        <w:rPr>
          <w:b/>
          <w:color w:val="010000"/>
        </w:rPr>
      </w:pPr>
      <w:r w:rsidRPr="00656DF3">
        <w:rPr>
          <w:b/>
          <w:color w:val="010000"/>
        </w:rPr>
        <w:t>II.</w:t>
      </w:r>
      <w:r w:rsidR="00656DF3" w:rsidRPr="00656DF3">
        <w:rPr>
          <w:color w:val="010000"/>
        </w:rPr>
        <w:t xml:space="preserve"> </w:t>
      </w:r>
      <w:r w:rsidRPr="00656DF3">
        <w:rPr>
          <w:b/>
          <w:color w:val="010000"/>
        </w:rPr>
        <w:t>BAŞVURU SÜRECİ</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2.</w:t>
      </w:r>
      <w:r w:rsidR="00656DF3" w:rsidRPr="00656DF3">
        <w:rPr>
          <w:color w:val="010000"/>
        </w:rPr>
        <w:t xml:space="preserve"> </w:t>
      </w:r>
      <w:r w:rsidRPr="00656DF3">
        <w:rPr>
          <w:color w:val="010000"/>
        </w:rPr>
        <w:t>Başvurular muhtelif tarihlerde yapılmıştır.</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3.</w:t>
      </w:r>
      <w:r w:rsidR="00656DF3" w:rsidRPr="00656DF3">
        <w:rPr>
          <w:color w:val="010000"/>
        </w:rPr>
        <w:t xml:space="preserve"> </w:t>
      </w:r>
      <w:r w:rsidRPr="00656DF3">
        <w:rPr>
          <w:color w:val="010000"/>
        </w:rPr>
        <w:t>Başvurular, başvuru formları ve eklerinin idari yönden yapılan ön incelemesinden sonra Komisyona sunulmuştur.</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4.</w:t>
      </w:r>
      <w:r w:rsidR="00656DF3" w:rsidRPr="00656DF3">
        <w:rPr>
          <w:color w:val="010000"/>
        </w:rPr>
        <w:t xml:space="preserve"> </w:t>
      </w:r>
      <w:r w:rsidRPr="00656DF3">
        <w:rPr>
          <w:color w:val="010000"/>
        </w:rPr>
        <w:t>Komisyonca başvuruların kabul edilebilirlik incelemesinin Bölüm tarafından yapılmasına karar verilmiştir.</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5.</w:t>
      </w:r>
      <w:r w:rsidR="00656DF3" w:rsidRPr="00656DF3">
        <w:rPr>
          <w:color w:val="010000"/>
        </w:rPr>
        <w:t xml:space="preserve"> </w:t>
      </w:r>
      <w:r w:rsidRPr="00656DF3">
        <w:rPr>
          <w:color w:val="010000"/>
        </w:rPr>
        <w:t>Konularının aynı olması nedeniyle ekli tablonun B sütununda numaraları belirtilen başvuru dosyalarının aynı tablonun (1) numaralı satırında yer alan 2018/1497 numaralı bireysel başvuru dosyası ile birleştirilmesine ve incelemenin bu dosya üzerinden yapılmasına karar verilmiştir.</w:t>
      </w:r>
    </w:p>
    <w:p w:rsidR="00654E3A" w:rsidRPr="00656DF3" w:rsidRDefault="00654E3A" w:rsidP="00656DF3">
      <w:pPr>
        <w:widowControl/>
        <w:suppressAutoHyphens w:val="0"/>
        <w:spacing w:after="200"/>
        <w:ind w:left="283" w:right="283" w:firstLine="567"/>
        <w:jc w:val="both"/>
        <w:rPr>
          <w:color w:val="010000"/>
        </w:rPr>
      </w:pPr>
      <w:r w:rsidRPr="00656DF3">
        <w:rPr>
          <w:color w:val="010000"/>
        </w:rPr>
        <w:lastRenderedPageBreak/>
        <w:t>6.</w:t>
      </w:r>
      <w:r w:rsidR="00656DF3" w:rsidRPr="00656DF3">
        <w:rPr>
          <w:color w:val="010000"/>
        </w:rPr>
        <w:t xml:space="preserve"> </w:t>
      </w:r>
      <w:r w:rsidRPr="00656DF3">
        <w:rPr>
          <w:color w:val="010000"/>
        </w:rPr>
        <w:t>Bölüm Başkanı tarafından başvurunun kabul edilebilirlik ve esas incelemesinin birlikte yapılmasına karar verilmiştir.</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7.</w:t>
      </w:r>
      <w:r w:rsidR="00656DF3" w:rsidRPr="00656DF3">
        <w:rPr>
          <w:color w:val="010000"/>
        </w:rPr>
        <w:t xml:space="preserve"> </w:t>
      </w:r>
      <w:r w:rsidRPr="00656DF3">
        <w:rPr>
          <w:color w:val="010000"/>
        </w:rPr>
        <w:t>Başvuru belgelerinin bir örneği bilgi için Adalet Bakanlığına (Bakanlık) gönderilmiştir. Bakanlık, görüş bildirmemiştir.</w:t>
      </w:r>
    </w:p>
    <w:p w:rsidR="00654E3A" w:rsidRPr="00656DF3" w:rsidRDefault="00654E3A" w:rsidP="00656DF3">
      <w:pPr>
        <w:widowControl/>
        <w:suppressAutoHyphens w:val="0"/>
        <w:spacing w:after="200"/>
        <w:ind w:left="283" w:right="283" w:firstLine="567"/>
        <w:jc w:val="both"/>
        <w:rPr>
          <w:b/>
          <w:color w:val="010000"/>
        </w:rPr>
      </w:pPr>
      <w:r w:rsidRPr="00656DF3">
        <w:rPr>
          <w:b/>
          <w:color w:val="010000"/>
        </w:rPr>
        <w:t>III.</w:t>
      </w:r>
      <w:r w:rsidR="00656DF3" w:rsidRPr="00656DF3">
        <w:rPr>
          <w:color w:val="010000"/>
        </w:rPr>
        <w:t xml:space="preserve"> </w:t>
      </w:r>
      <w:r w:rsidRPr="00656DF3">
        <w:rPr>
          <w:b/>
          <w:color w:val="010000"/>
        </w:rPr>
        <w:t xml:space="preserve">OLAY VE OLGULAR </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8.</w:t>
      </w:r>
      <w:r w:rsidR="00656DF3" w:rsidRPr="00656DF3">
        <w:rPr>
          <w:color w:val="010000"/>
        </w:rPr>
        <w:t xml:space="preserve"> </w:t>
      </w:r>
      <w:r w:rsidRPr="00656DF3">
        <w:rPr>
          <w:color w:val="010000"/>
        </w:rPr>
        <w:t>Başvuru formu ve eklerinde ifade edildiği şekliyle ilgili olaylar özetle şöyledir:</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9.</w:t>
      </w:r>
      <w:r w:rsidR="00656DF3" w:rsidRPr="00656DF3">
        <w:rPr>
          <w:color w:val="010000"/>
        </w:rPr>
        <w:t xml:space="preserve"> </w:t>
      </w:r>
      <w:r w:rsidRPr="00656DF3">
        <w:rPr>
          <w:color w:val="010000"/>
        </w:rPr>
        <w:t>Başvurucular farklı şehirlerde yer alan sosyal yardımlaşma ve dayanışma vakıflarında (vakıflar) hizmet akdine dayalı olarak çalışmaktadır.</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10.</w:t>
      </w:r>
      <w:r w:rsidR="00656DF3" w:rsidRPr="00656DF3">
        <w:rPr>
          <w:color w:val="010000"/>
        </w:rPr>
        <w:t xml:space="preserve"> </w:t>
      </w:r>
      <w:r w:rsidRPr="00656DF3">
        <w:rPr>
          <w:color w:val="010000"/>
        </w:rPr>
        <w:t xml:space="preserve">Başvurucular, kamu personeli olduklarını ileri sürerek 4/7/1956 tarihli ve 6772 sayılı Devlet ve Ona Bağlı Müesseselerde Çalışan İşçilere İlave Tediye Yapılması Hakkında Kanun uyarınca her bir yıllık çalışma süresi içinde ödenmesi gereken iki aylık tutarındaki ilave tediye alacağının ödenmesi amacıyla vakıflar aleyhine ayrı ayrı dava açmışlardır. </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11.</w:t>
      </w:r>
      <w:r w:rsidR="00656DF3" w:rsidRPr="00656DF3">
        <w:rPr>
          <w:color w:val="010000"/>
        </w:rPr>
        <w:t xml:space="preserve"> </w:t>
      </w:r>
      <w:r w:rsidRPr="00656DF3">
        <w:rPr>
          <w:color w:val="010000"/>
        </w:rPr>
        <w:t>Ekli tablonun D sütununda numaraları belirtilen mahkemelerce yapılan yargılama sonunda başvurucuların davalarının kabulüne karar verilmiştir. Gerekçeli kararlarda; davacıların davalı vakıflara bağlı olarak muhtelif tarihlerden itibaren çalışmaya başladıkları, davalı vakıfların kamu kurumu niteliğinde olduğu, 6772 sayılı Kanun kapsamında bulunan kurumlarda çalışanlara her yıl için ilave tediye ödeme yapılacağı açıklanmıştır.</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12.</w:t>
      </w:r>
      <w:r w:rsidR="00656DF3" w:rsidRPr="00656DF3">
        <w:rPr>
          <w:color w:val="010000"/>
        </w:rPr>
        <w:t xml:space="preserve"> </w:t>
      </w:r>
      <w:r w:rsidRPr="00656DF3">
        <w:rPr>
          <w:color w:val="010000"/>
        </w:rPr>
        <w:t>Davalı vakıflar, istinaf yoluna başvurmuştur. Ekli tablonun D sütununda gösterilen Bölge Adliye Mahkemelerince (BAM), Yargıtay 22. Hukuk Dairesinin emsal kararlarına göre vakfın 6772 sayılı Kanun gereğince kamu kurumu niteliğinde olmadığı belirtilerek ilk derece mahkemesi kararları ortadan kaldırılmış ve davalar reddedilmiştir. Kararların bir kısmı kesin, bir kısmı ise temyiz yolu açık olarak verilmiştir. Ekli tablonun D sütununda gösterilen kararlarla temyiz talepleri Yargıtay 22. Hukuk Dairesi tarafından reddedilmiştir.</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13.</w:t>
      </w:r>
      <w:r w:rsidR="00656DF3" w:rsidRPr="00656DF3">
        <w:rPr>
          <w:color w:val="010000"/>
        </w:rPr>
        <w:t xml:space="preserve"> </w:t>
      </w:r>
      <w:r w:rsidRPr="00656DF3">
        <w:rPr>
          <w:color w:val="010000"/>
        </w:rPr>
        <w:t>Başvurucular, muhtelif tarihlerde bireysel başvuruda bulunmuştur.</w:t>
      </w:r>
    </w:p>
    <w:p w:rsidR="00654E3A" w:rsidRPr="00656DF3" w:rsidRDefault="00654E3A" w:rsidP="00656DF3">
      <w:pPr>
        <w:widowControl/>
        <w:suppressAutoHyphens w:val="0"/>
        <w:spacing w:after="200"/>
        <w:ind w:left="283" w:right="283" w:firstLine="567"/>
        <w:jc w:val="both"/>
        <w:rPr>
          <w:b/>
          <w:color w:val="010000"/>
        </w:rPr>
      </w:pPr>
      <w:r w:rsidRPr="00656DF3">
        <w:rPr>
          <w:b/>
          <w:color w:val="010000"/>
        </w:rPr>
        <w:t>IV.</w:t>
      </w:r>
      <w:r w:rsidR="00656DF3" w:rsidRPr="00656DF3">
        <w:rPr>
          <w:color w:val="010000"/>
        </w:rPr>
        <w:t xml:space="preserve"> </w:t>
      </w:r>
      <w:r w:rsidRPr="00656DF3">
        <w:rPr>
          <w:b/>
          <w:color w:val="010000"/>
        </w:rPr>
        <w:t>İLGİLİ HUKUK</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14.</w:t>
      </w:r>
      <w:r w:rsidR="00656DF3" w:rsidRPr="00656DF3">
        <w:rPr>
          <w:color w:val="010000"/>
        </w:rPr>
        <w:t xml:space="preserve"> </w:t>
      </w:r>
      <w:r w:rsidRPr="00656DF3">
        <w:rPr>
          <w:color w:val="010000"/>
        </w:rPr>
        <w:t xml:space="preserve">İlgili hukuk için bkz. </w:t>
      </w:r>
      <w:r w:rsidRPr="00656DF3">
        <w:rPr>
          <w:i/>
          <w:iCs/>
          <w:color w:val="010000"/>
        </w:rPr>
        <w:t>Yasemin Bodur</w:t>
      </w:r>
      <w:r w:rsidRPr="00656DF3">
        <w:rPr>
          <w:color w:val="010000"/>
        </w:rPr>
        <w:t xml:space="preserve">, B. No: 2017/29896, 25/12/2018, §§ 14-32. </w:t>
      </w:r>
    </w:p>
    <w:p w:rsidR="00654E3A" w:rsidRPr="00656DF3" w:rsidRDefault="00654E3A" w:rsidP="00656DF3">
      <w:pPr>
        <w:widowControl/>
        <w:suppressAutoHyphens w:val="0"/>
        <w:spacing w:after="200"/>
        <w:ind w:left="283" w:right="283" w:firstLine="567"/>
        <w:jc w:val="both"/>
        <w:rPr>
          <w:b/>
          <w:color w:val="010000"/>
        </w:rPr>
      </w:pPr>
      <w:r w:rsidRPr="00656DF3">
        <w:rPr>
          <w:b/>
          <w:color w:val="010000"/>
        </w:rPr>
        <w:t>V.</w:t>
      </w:r>
      <w:r w:rsidR="00656DF3" w:rsidRPr="00656DF3">
        <w:rPr>
          <w:color w:val="010000"/>
        </w:rPr>
        <w:t xml:space="preserve"> </w:t>
      </w:r>
      <w:r w:rsidRPr="00656DF3">
        <w:rPr>
          <w:b/>
          <w:color w:val="010000"/>
        </w:rPr>
        <w:t>İNCELEME VE GEREKÇE</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15.</w:t>
      </w:r>
      <w:r w:rsidR="00656DF3" w:rsidRPr="00656DF3">
        <w:rPr>
          <w:color w:val="010000"/>
        </w:rPr>
        <w:t xml:space="preserve"> </w:t>
      </w:r>
      <w:r w:rsidRPr="00656DF3">
        <w:rPr>
          <w:color w:val="010000"/>
        </w:rPr>
        <w:t>Mahkemenin 30/9/2020 tarihinde yapmış olduğu toplantıda başvuru incelenip gereği düşünüldü:</w:t>
      </w:r>
    </w:p>
    <w:p w:rsidR="00654E3A" w:rsidRPr="00656DF3" w:rsidRDefault="00654E3A" w:rsidP="00656DF3">
      <w:pPr>
        <w:widowControl/>
        <w:suppressAutoHyphens w:val="0"/>
        <w:spacing w:after="200"/>
        <w:ind w:left="283" w:right="283" w:firstLine="567"/>
        <w:jc w:val="both"/>
        <w:rPr>
          <w:b/>
          <w:color w:val="010000"/>
        </w:rPr>
      </w:pPr>
      <w:r w:rsidRPr="00656DF3">
        <w:rPr>
          <w:b/>
          <w:color w:val="010000"/>
        </w:rPr>
        <w:t>A.</w:t>
      </w:r>
      <w:r w:rsidR="00656DF3" w:rsidRPr="00656DF3">
        <w:rPr>
          <w:color w:val="010000"/>
        </w:rPr>
        <w:t xml:space="preserve"> </w:t>
      </w:r>
      <w:r w:rsidRPr="00656DF3">
        <w:rPr>
          <w:b/>
          <w:color w:val="010000"/>
        </w:rPr>
        <w:t xml:space="preserve">Başvurucuların İddiaları </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16.</w:t>
      </w:r>
      <w:r w:rsidR="00656DF3" w:rsidRPr="00656DF3">
        <w:rPr>
          <w:color w:val="010000"/>
        </w:rPr>
        <w:t xml:space="preserve"> </w:t>
      </w:r>
      <w:r w:rsidRPr="00656DF3">
        <w:rPr>
          <w:color w:val="010000"/>
        </w:rPr>
        <w:t xml:space="preserve">Başvurucular; benzer uyuşmazlıkların farklı şekilde sonuçlanmasının daha önce bu uyuşmazlıkların temyiz incelemesini yapan Yargıtay daireleri arasındaki görüş ayrılığından kaynaklandığını, bu bağlamda </w:t>
      </w:r>
      <w:proofErr w:type="spellStart"/>
      <w:r w:rsidRPr="00656DF3">
        <w:rPr>
          <w:color w:val="010000"/>
        </w:rPr>
        <w:t>Yargıtayın</w:t>
      </w:r>
      <w:proofErr w:type="spellEnd"/>
      <w:r w:rsidRPr="00656DF3">
        <w:rPr>
          <w:color w:val="010000"/>
        </w:rPr>
        <w:t xml:space="preserve"> 7. ve 9. Hukuk Dairelerinin kendileri ile aynı statüde bulunan kişileri kamu işçisi olarak kabul edip ilave tediye alacağına hak kazandıkları yönündeki kararlarına rağmen Yargıtay 22. Hukuk Dairesinin bu kişileri kamu işçisi olarak kabul etmemesi nedeniyle ilave tediye alacağı isteklerinin reddine karar verdiğini belirtmiştir. Başvurucular aynı statüdeki işçiler için açılan davalarda ilave tediye alacaklarının ödenmesi yönünde karar verilirken daha sonra vakfın </w:t>
      </w:r>
      <w:r w:rsidRPr="00656DF3">
        <w:rPr>
          <w:color w:val="010000"/>
        </w:rPr>
        <w:lastRenderedPageBreak/>
        <w:t>kamu kurumu olmadığı gerekçesiyle taleplerinin reddine karar verildiğini belirterek eşitlik ilkesinin, çalışma haklarının, ücrette adaletin sağlanması ilkesinin ihlal edildiğini ileri sürmüştür.</w:t>
      </w:r>
    </w:p>
    <w:p w:rsidR="00654E3A" w:rsidRPr="00656DF3" w:rsidRDefault="00654E3A" w:rsidP="00656DF3">
      <w:pPr>
        <w:widowControl/>
        <w:suppressAutoHyphens w:val="0"/>
        <w:spacing w:after="200"/>
        <w:ind w:left="283" w:right="283" w:firstLine="567"/>
        <w:jc w:val="both"/>
        <w:rPr>
          <w:b/>
          <w:color w:val="010000"/>
        </w:rPr>
      </w:pPr>
      <w:r w:rsidRPr="00656DF3">
        <w:rPr>
          <w:b/>
          <w:color w:val="010000"/>
        </w:rPr>
        <w:t>B.</w:t>
      </w:r>
      <w:r w:rsidR="00656DF3" w:rsidRPr="00656DF3">
        <w:rPr>
          <w:color w:val="010000"/>
        </w:rPr>
        <w:t xml:space="preserve"> </w:t>
      </w:r>
      <w:r w:rsidRPr="00656DF3">
        <w:rPr>
          <w:b/>
          <w:color w:val="010000"/>
        </w:rPr>
        <w:t>Değerlendirme</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17.</w:t>
      </w:r>
      <w:r w:rsidR="00656DF3" w:rsidRPr="00656DF3">
        <w:rPr>
          <w:color w:val="010000"/>
        </w:rPr>
        <w:t xml:space="preserve"> </w:t>
      </w:r>
      <w:r w:rsidRPr="00656DF3">
        <w:rPr>
          <w:color w:val="010000"/>
        </w:rPr>
        <w:t>Anayasa Mahkemesi, olayların başvurucu tarafından yapılan hukuki nitelendirmesi ile bağlı olmayıp olay ve olguların hukuki tavsifini kendisi takdir eder (</w:t>
      </w:r>
      <w:r w:rsidRPr="00656DF3">
        <w:rPr>
          <w:i/>
          <w:iCs/>
          <w:color w:val="010000"/>
        </w:rPr>
        <w:t>Tahir Canan,</w:t>
      </w:r>
      <w:r w:rsidRPr="00656DF3">
        <w:rPr>
          <w:color w:val="010000"/>
        </w:rPr>
        <w:t xml:space="preserve"> B. No: 2012/969, 18/9/2013, § 16). Başvurucuların farklı karar verilmesi nedeniyle eşitlik ilkesinin ihlal edildiğine ilişkin iddialarının özünün adil yargılanma hakkının güvencelerinden biri olan hakkaniyete uygun yargılanma hakkına ilişkin olduğu ve bu kapsamda bir inceleme yapılması gerektiği değerlendirilmiştir.</w:t>
      </w:r>
    </w:p>
    <w:p w:rsidR="00654E3A" w:rsidRPr="00656DF3" w:rsidRDefault="00654E3A" w:rsidP="00656DF3">
      <w:pPr>
        <w:pStyle w:val="edf1450279197849"/>
        <w:widowControl/>
        <w:suppressAutoHyphens w:val="0"/>
        <w:spacing w:after="200"/>
        <w:ind w:left="283" w:right="283" w:firstLine="567"/>
        <w:jc w:val="both"/>
        <w:rPr>
          <w:rFonts w:cs="Times New Roman"/>
          <w:b/>
          <w:color w:val="010000"/>
        </w:rPr>
      </w:pPr>
      <w:r w:rsidRPr="00656DF3">
        <w:rPr>
          <w:rFonts w:cs="Times New Roman"/>
          <w:b/>
          <w:color w:val="010000"/>
        </w:rPr>
        <w:t>1.</w:t>
      </w:r>
      <w:r w:rsidR="00656DF3" w:rsidRPr="00656DF3">
        <w:rPr>
          <w:rFonts w:cs="Times New Roman"/>
          <w:b/>
          <w:color w:val="010000"/>
        </w:rPr>
        <w:t xml:space="preserve"> </w:t>
      </w:r>
      <w:r w:rsidRPr="00656DF3">
        <w:rPr>
          <w:rFonts w:cs="Times New Roman"/>
          <w:b/>
          <w:color w:val="010000"/>
        </w:rPr>
        <w:t>Kabul Edilebilirlik Yönünden</w:t>
      </w:r>
    </w:p>
    <w:p w:rsidR="00654E3A" w:rsidRPr="00656DF3" w:rsidRDefault="00654E3A" w:rsidP="00656DF3">
      <w:pPr>
        <w:pStyle w:val="edf1450279197849"/>
        <w:widowControl/>
        <w:suppressAutoHyphens w:val="0"/>
        <w:spacing w:after="200"/>
        <w:ind w:left="283" w:right="283" w:firstLine="567"/>
        <w:jc w:val="both"/>
        <w:rPr>
          <w:rFonts w:cs="Times New Roman"/>
          <w:color w:val="010000"/>
        </w:rPr>
      </w:pPr>
      <w:r w:rsidRPr="00656DF3">
        <w:rPr>
          <w:rFonts w:cs="Times New Roman"/>
          <w:color w:val="010000"/>
        </w:rPr>
        <w:t>18.</w:t>
      </w:r>
      <w:r w:rsidR="00656DF3" w:rsidRPr="00656DF3">
        <w:rPr>
          <w:rFonts w:cs="Times New Roman"/>
          <w:color w:val="010000"/>
        </w:rPr>
        <w:t xml:space="preserve"> </w:t>
      </w:r>
      <w:r w:rsidRPr="00656DF3">
        <w:rPr>
          <w:rFonts w:cs="Times New Roman"/>
          <w:color w:val="010000"/>
        </w:rPr>
        <w:t>Açıkça dayanaktan yoksun olmadığı ve kabul edilemezliğine karar verilmesini gerektirecek başka bir neden de bulunmadığı anlaşılan hakkaniyete uygun yargılanma hakkının ihlal edildiğine ilişkin iddianın kabul edilebilir olduğuna karar verilmesi gerekir.</w:t>
      </w:r>
    </w:p>
    <w:p w:rsidR="00654E3A" w:rsidRPr="00656DF3" w:rsidRDefault="00654E3A" w:rsidP="00656DF3">
      <w:pPr>
        <w:pStyle w:val="edf1450279197849"/>
        <w:widowControl/>
        <w:suppressAutoHyphens w:val="0"/>
        <w:spacing w:after="200"/>
        <w:ind w:left="283" w:right="283" w:firstLine="567"/>
        <w:jc w:val="both"/>
        <w:rPr>
          <w:rFonts w:cs="Times New Roman"/>
          <w:b/>
          <w:color w:val="010000"/>
        </w:rPr>
      </w:pPr>
      <w:r w:rsidRPr="00656DF3">
        <w:rPr>
          <w:rFonts w:cs="Times New Roman"/>
          <w:b/>
          <w:color w:val="010000"/>
        </w:rPr>
        <w:t>2.</w:t>
      </w:r>
      <w:r w:rsidR="00656DF3" w:rsidRPr="00656DF3">
        <w:rPr>
          <w:rFonts w:cs="Times New Roman"/>
          <w:b/>
          <w:color w:val="010000"/>
        </w:rPr>
        <w:t xml:space="preserve"> </w:t>
      </w:r>
      <w:r w:rsidRPr="00656DF3">
        <w:rPr>
          <w:rFonts w:cs="Times New Roman"/>
          <w:b/>
          <w:color w:val="010000"/>
        </w:rPr>
        <w:t>Esas Yönünden</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19.</w:t>
      </w:r>
      <w:r w:rsidR="00656DF3" w:rsidRPr="00656DF3">
        <w:rPr>
          <w:color w:val="010000"/>
        </w:rPr>
        <w:t xml:space="preserve"> </w:t>
      </w:r>
      <w:r w:rsidRPr="00656DF3">
        <w:rPr>
          <w:color w:val="010000"/>
        </w:rPr>
        <w:t xml:space="preserve">Başvuru konusu ile ilgili ilkeler daha önce </w:t>
      </w:r>
      <w:r w:rsidRPr="00656DF3">
        <w:rPr>
          <w:i/>
          <w:iCs/>
          <w:color w:val="010000"/>
        </w:rPr>
        <w:t>Yasemin Bodur</w:t>
      </w:r>
      <w:r w:rsidRPr="00656DF3">
        <w:rPr>
          <w:color w:val="010000"/>
        </w:rPr>
        <w:t xml:space="preserve"> (aynı kararda bkz. § 35-45) kararında ortaya konulmuştur. Anılan kararda Anayasa Mahkemesinin kanunilik ilkesi bağlamındaki görevinin, hukuk kurallarının birden fazla yorumunun varlığının hukuki belirlilik ve öngörülebilirliği etkileyip etkilemediğini tespit etmek olduğu belirtilmiştir. Bu noktada derece mahkemelerinin hukuk kurallarını yorumlamasından kaynaklanan içtihat farkının süregelen bir hâl aldığı durumlarda uygulamadaki tutarsızlıkları ortadan kaldıracak nitelikteki tedbirlerin önemine işaret edilmiştir. Hukukun üstünlüğü ilkesi gereği devletin, aynı yargı koluna dâhil mahkemeler arasındaki derin ve süregelen içtihat farklılıklarını ortadan kaldırabilecek nitelikte bir mekanizmayı kurmak ve bu mekanizmanın etkin bir şekilde işleyişini sağlayacak düzenlemeler yapmakla yükümlü olduğu ifade edilmiştir. </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20.</w:t>
      </w:r>
      <w:r w:rsidR="00656DF3" w:rsidRPr="00656DF3">
        <w:rPr>
          <w:color w:val="010000"/>
        </w:rPr>
        <w:t xml:space="preserve"> </w:t>
      </w:r>
      <w:r w:rsidRPr="00656DF3">
        <w:rPr>
          <w:color w:val="010000"/>
        </w:rPr>
        <w:t>Aynı kararda Yargıtay 9. Hukuk Dairesi ve sonradan bu görev verilen (kapatılan) Yargıtay 7. Hukuk Dairesinin vakıf çalışanlarının kamu işçisi olduğunu kabul ettiği ve şartları uygunsa idare tarafından ödenmesine karar verilen ilave tediye alacağından yararlanacaklarına dair kararlar verdiği belirtilmiştir. Buna karşılık olarak Yargıtay 22. Hukuk Dairesinin anılan vakıfların özel hukuk tüzel kişisi statüsüne sahip olduğunu ve dolayısıyla kamu personeli sıfatı bulunmayan çalışanlarının ilave tediyeden yararlanmayacağını istikrarlı olarak hüküm altına aldığı ifade edilmiştir. Yargıtay daireleri arasındaki derin ve süregelen içtihat farkının faaliyete giren istinaf mahkemesi niteliğindeki BAM daireleri arasında da sürdürüldüğü saptanmıştır (</w:t>
      </w:r>
      <w:r w:rsidRPr="00656DF3">
        <w:rPr>
          <w:i/>
          <w:iCs/>
          <w:color w:val="010000"/>
        </w:rPr>
        <w:t>Yasemin Bodur</w:t>
      </w:r>
      <w:r w:rsidRPr="00656DF3">
        <w:rPr>
          <w:color w:val="010000"/>
        </w:rPr>
        <w:t xml:space="preserve">, §§ 48, 50). </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21.</w:t>
      </w:r>
      <w:r w:rsidR="00656DF3" w:rsidRPr="00656DF3">
        <w:rPr>
          <w:color w:val="010000"/>
        </w:rPr>
        <w:t xml:space="preserve"> </w:t>
      </w:r>
      <w:r w:rsidRPr="00656DF3">
        <w:rPr>
          <w:color w:val="010000"/>
        </w:rPr>
        <w:t>Anılan kararda sosyal yardımlaşma ve dayanışma vakfı çalışanlarının ilave tediye alacağına hak kazanıp kazanmayacağı hususunda süregelen içtihat farklılığının derinleşmiş ve sürekli bir nitelik kazanmış olduğu, bu durumun davaların somut özelliğinden kaynaklanmadığı ve bu durumun ortadan kaldırılmasını sağlayacak içtihadı birleştirme kararı gibi elverişli bir mekanizma işletilmemesi nedenleriyle varılan sonucun başvurucu için öngörülemez olduğu ve yargılamanın hakkaniyetini zedelediği sonucuna ulaşılmıştır (</w:t>
      </w:r>
      <w:r w:rsidRPr="00656DF3">
        <w:rPr>
          <w:i/>
          <w:iCs/>
          <w:color w:val="010000"/>
        </w:rPr>
        <w:t>Yasemin Bodur</w:t>
      </w:r>
      <w:r w:rsidRPr="00656DF3">
        <w:rPr>
          <w:color w:val="010000"/>
        </w:rPr>
        <w:t>, § 52).</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22.</w:t>
      </w:r>
      <w:r w:rsidR="00656DF3" w:rsidRPr="00656DF3">
        <w:rPr>
          <w:color w:val="010000"/>
        </w:rPr>
        <w:t xml:space="preserve"> </w:t>
      </w:r>
      <w:r w:rsidRPr="00656DF3">
        <w:rPr>
          <w:color w:val="010000"/>
        </w:rPr>
        <w:t xml:space="preserve">Somut başvurunun da aynı hususa ilişkin olması ve </w:t>
      </w:r>
      <w:r w:rsidRPr="00656DF3">
        <w:rPr>
          <w:i/>
          <w:iCs/>
          <w:color w:val="010000"/>
        </w:rPr>
        <w:t>Yasemin Bodur</w:t>
      </w:r>
      <w:r w:rsidRPr="00656DF3">
        <w:rPr>
          <w:color w:val="010000"/>
        </w:rPr>
        <w:t xml:space="preserve"> kararından ayrılmayı gerektiren bir durumun bulunmaması nedeniyle başvurucunun Anayasa’nın 36. </w:t>
      </w:r>
      <w:r w:rsidRPr="00656DF3">
        <w:rPr>
          <w:color w:val="010000"/>
        </w:rPr>
        <w:lastRenderedPageBreak/>
        <w:t>maddesinde güvence altına alınan adil yargılanma hakkının ihlal edildiğine karar verilmesi gerekir.</w:t>
      </w:r>
    </w:p>
    <w:p w:rsidR="00654E3A" w:rsidRPr="00656DF3" w:rsidRDefault="00654E3A" w:rsidP="00656DF3">
      <w:pPr>
        <w:pStyle w:val="edf1511959760111"/>
        <w:widowControl/>
        <w:suppressAutoHyphens w:val="0"/>
        <w:spacing w:after="200"/>
        <w:ind w:left="283" w:right="283" w:firstLine="567"/>
        <w:jc w:val="both"/>
        <w:rPr>
          <w:rFonts w:cs="Times New Roman"/>
          <w:b/>
          <w:color w:val="010000"/>
        </w:rPr>
      </w:pPr>
      <w:r w:rsidRPr="00656DF3">
        <w:rPr>
          <w:rFonts w:cs="Times New Roman"/>
          <w:b/>
          <w:color w:val="010000"/>
        </w:rPr>
        <w:t>C.</w:t>
      </w:r>
      <w:r w:rsidR="00656DF3" w:rsidRPr="00656DF3">
        <w:rPr>
          <w:rFonts w:cs="Times New Roman"/>
          <w:color w:val="010000"/>
        </w:rPr>
        <w:t xml:space="preserve"> </w:t>
      </w:r>
      <w:r w:rsidRPr="00656DF3">
        <w:rPr>
          <w:rFonts w:cs="Times New Roman"/>
          <w:b/>
          <w:color w:val="010000"/>
        </w:rPr>
        <w:t>6216 Sayılı Kanun'un 50. Maddesi Yönünden</w:t>
      </w:r>
    </w:p>
    <w:p w:rsidR="00656DF3" w:rsidRDefault="00656DF3" w:rsidP="00656DF3">
      <w:pPr>
        <w:widowControl/>
        <w:suppressAutoHyphens w:val="0"/>
        <w:spacing w:after="200"/>
        <w:ind w:left="283" w:right="283" w:firstLine="567"/>
        <w:jc w:val="both"/>
        <w:rPr>
          <w:color w:val="010000"/>
          <w:lang w:eastAsia="fa-IR" w:bidi="fa-IR"/>
        </w:rPr>
      </w:pPr>
      <w:r>
        <w:rPr>
          <w:color w:val="010000"/>
          <w:lang w:eastAsia="fa-IR" w:bidi="fa-IR"/>
        </w:rPr>
        <w:t>23. 30/3/2011 tarihli ve 6216 sayılı Anayasa Mahkemesinin Kuruluşu ve Yargılama Usulleri Hakkında Kanun'un 50. maddesinin ilgili kısmı şöyledir:</w:t>
      </w:r>
    </w:p>
    <w:p w:rsidR="00654E3A" w:rsidRPr="00656DF3" w:rsidRDefault="00656DF3" w:rsidP="00656DF3">
      <w:pPr>
        <w:widowControl/>
        <w:suppressAutoHyphens w:val="0"/>
        <w:spacing w:after="200"/>
        <w:ind w:left="283" w:right="283" w:firstLine="567"/>
        <w:jc w:val="both"/>
        <w:rPr>
          <w:i/>
          <w:iCs/>
          <w:color w:val="010000"/>
          <w:sz w:val="22"/>
        </w:rPr>
      </w:pPr>
      <w:r w:rsidRPr="00656DF3">
        <w:rPr>
          <w:i/>
          <w:iCs/>
          <w:color w:val="010000"/>
          <w:sz w:val="22"/>
        </w:rPr>
        <w:t xml:space="preserve"> </w:t>
      </w:r>
      <w:r w:rsidR="00654E3A" w:rsidRPr="00656DF3">
        <w:rPr>
          <w:i/>
          <w:iCs/>
          <w:color w:val="010000"/>
          <w:sz w:val="22"/>
        </w:rPr>
        <w:t>“(1) Esas inceleme sonunda, başvurucunun hakkının ihlal edildiğine ya da edilmediğine karar verilir. İhlal kararı verilmesi hâlinde ihlalin ve sonuçlarının ortadan kaldırılması için yapılması gerekenlere hükmedilir…</w:t>
      </w:r>
    </w:p>
    <w:p w:rsidR="00654E3A" w:rsidRPr="00656DF3" w:rsidRDefault="00656DF3" w:rsidP="00656DF3">
      <w:pPr>
        <w:widowControl/>
        <w:suppressAutoHyphens w:val="0"/>
        <w:spacing w:after="200"/>
        <w:ind w:left="283" w:right="283" w:firstLine="567"/>
        <w:jc w:val="both"/>
        <w:rPr>
          <w:i/>
          <w:iCs/>
          <w:color w:val="010000"/>
          <w:sz w:val="22"/>
        </w:rPr>
      </w:pPr>
      <w:r w:rsidRPr="00656DF3">
        <w:rPr>
          <w:i/>
          <w:iCs/>
          <w:color w:val="010000"/>
          <w:sz w:val="22"/>
        </w:rPr>
        <w:t xml:space="preserve"> </w:t>
      </w:r>
      <w:r w:rsidR="00654E3A" w:rsidRPr="00656DF3">
        <w:rPr>
          <w:i/>
          <w:iCs/>
          <w:color w:val="010000"/>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654E3A" w:rsidRPr="00656DF3" w:rsidRDefault="00654E3A" w:rsidP="00656DF3">
      <w:pPr>
        <w:pStyle w:val="edf1450279197849"/>
        <w:widowControl/>
        <w:suppressAutoHyphens w:val="0"/>
        <w:spacing w:after="200"/>
        <w:ind w:left="283" w:right="283" w:firstLine="567"/>
        <w:jc w:val="both"/>
        <w:rPr>
          <w:rFonts w:cs="Times New Roman"/>
          <w:color w:val="010000"/>
        </w:rPr>
      </w:pPr>
      <w:r w:rsidRPr="00656DF3">
        <w:rPr>
          <w:rFonts w:cs="Times New Roman"/>
          <w:color w:val="010000"/>
        </w:rPr>
        <w:t>24.</w:t>
      </w:r>
      <w:r w:rsidR="00656DF3" w:rsidRPr="00656DF3">
        <w:rPr>
          <w:rFonts w:cs="Times New Roman"/>
          <w:color w:val="010000"/>
        </w:rPr>
        <w:t xml:space="preserve"> </w:t>
      </w:r>
      <w:r w:rsidRPr="00656DF3">
        <w:rPr>
          <w:rFonts w:cs="Times New Roman"/>
          <w:color w:val="010000"/>
        </w:rPr>
        <w:t>Başvurucular, ihlalin tespiti ile yargılamanın yenilenmesine karar verilmesi talebinde bulunmuştur. Başvurucuların manevi tazminat talebi bulunmamaktadır.</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25.</w:t>
      </w:r>
      <w:r w:rsidR="00656DF3" w:rsidRPr="00656DF3">
        <w:rPr>
          <w:color w:val="010000"/>
        </w:rPr>
        <w:t xml:space="preserve"> </w:t>
      </w:r>
      <w:r w:rsidRPr="00656DF3">
        <w:rPr>
          <w:color w:val="010000"/>
        </w:rPr>
        <w:t xml:space="preserve">Anayasa Mahkemesinin </w:t>
      </w:r>
      <w:r w:rsidRPr="00656DF3">
        <w:rPr>
          <w:i/>
          <w:iCs/>
          <w:color w:val="010000"/>
        </w:rPr>
        <w:t xml:space="preserve">Mehmet Doğan </w:t>
      </w:r>
      <w:r w:rsidRPr="00656DF3">
        <w:rPr>
          <w:color w:val="010000"/>
        </w:rPr>
        <w:t>([GK], B. No: 2014/8875, 7/6/2018) kararında ihlal sonucuna varıldığında ihlalin nasıl ortadan kaldırılacağı hususunda genel ilkeler belirlenmiştir. Anayasa Mahkemesi diğer bir kararında ise bu ilkelerle birlikte ihlal kararının yerine getirilmemesinin sonuçlarına da değinmiş ve bu durumun ihlalin devamı anlamına geleceği gibi ilgili hakkın ikinci kez ihlal edilmesiyle sonuçlanacağına işaret etmiştir (</w:t>
      </w:r>
      <w:proofErr w:type="spellStart"/>
      <w:r w:rsidRPr="00656DF3">
        <w:rPr>
          <w:i/>
          <w:iCs/>
          <w:color w:val="010000"/>
        </w:rPr>
        <w:t>Aligül</w:t>
      </w:r>
      <w:proofErr w:type="spellEnd"/>
      <w:r w:rsidRPr="00656DF3">
        <w:rPr>
          <w:i/>
          <w:iCs/>
          <w:color w:val="010000"/>
        </w:rPr>
        <w:t xml:space="preserve"> Alkaya ve diğerleri (2)</w:t>
      </w:r>
      <w:r w:rsidRPr="00656DF3">
        <w:rPr>
          <w:color w:val="010000"/>
        </w:rPr>
        <w:t>, B. No: 2016/12506, 7/11/2019).</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26.</w:t>
      </w:r>
      <w:r w:rsidR="00656DF3" w:rsidRPr="00656DF3">
        <w:rPr>
          <w:color w:val="010000"/>
        </w:rPr>
        <w:t xml:space="preserve"> </w:t>
      </w:r>
      <w:r w:rsidRPr="00656DF3">
        <w:rPr>
          <w:color w:val="010000"/>
        </w:rPr>
        <w:t>Bireysel başvuru kapsamında bir temel hakkın ihlal edildiğine karar verildiği takdirde ihlalin ve sonuçlarının ortadan kaldırıldığından söz edilebilmesi için temel kural mümkün olduğunca eski hâle getirmenin yani ihlalden önceki duruma dönülmesinin sağlanmasıdır. Bunun için ise öncelikle ihlalin kaynağı belirlenerek devam eden ihlalin durdurulması, ihlale neden olan karar veya işlemin ve bunların yol açtığı sonuçların ortadan kaldırılması, varsa ihlalin sebep olduğu maddi ve manevi zararların giderilmesi, ayrıca bu bağlamda uygun görülen diğer tedbirlerin alınması gerekmektedir (</w:t>
      </w:r>
      <w:r w:rsidRPr="00656DF3">
        <w:rPr>
          <w:i/>
          <w:iCs/>
          <w:color w:val="010000"/>
        </w:rPr>
        <w:t>Mehmet Doğan</w:t>
      </w:r>
      <w:r w:rsidRPr="00656DF3">
        <w:rPr>
          <w:color w:val="010000"/>
        </w:rPr>
        <w:t xml:space="preserve">, §§ 55, 57). </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27.</w:t>
      </w:r>
      <w:r w:rsidR="00656DF3" w:rsidRPr="00656DF3">
        <w:rPr>
          <w:color w:val="010000"/>
        </w:rPr>
        <w:t xml:space="preserve"> </w:t>
      </w:r>
      <w:r w:rsidRPr="00656DF3">
        <w:rPr>
          <w:color w:val="010000"/>
        </w:rPr>
        <w:t>Bununla birlikte 6216 sayılı Kanun’un 50. maddesinin (1) numaralı fıkrasına göre ihlalin ve sonuçlarının ortadan kaldırılması için yapılması gerekenlere hükmedilirken idari eylem ve işlem niteliğinde karar verilemez. Anayasa Mahkemesi ihlalin ve sonuçlarının nasıl giderileceğine hükmederken idarenin, yargısal makamların veya yasama organının yerine geçerek işlem tesis edemez. Anayasa Mahkemesi, ihlalin ve sonuçlarının nasıl giderileceğine hükmederek gerekli işlemlerin tesis edilmesi için kararı ilgili mercilere gönderir (</w:t>
      </w:r>
      <w:r w:rsidRPr="00656DF3">
        <w:rPr>
          <w:i/>
          <w:iCs/>
          <w:color w:val="010000"/>
        </w:rPr>
        <w:t>Şahin Alpay (2)</w:t>
      </w:r>
      <w:r w:rsidRPr="00656DF3">
        <w:rPr>
          <w:color w:val="010000"/>
        </w:rPr>
        <w:t xml:space="preserve"> [GK], B. No: 2018/3007, 15/3/2018, § 57). </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28.</w:t>
      </w:r>
      <w:r w:rsidR="00656DF3" w:rsidRPr="00656DF3">
        <w:rPr>
          <w:color w:val="010000"/>
        </w:rPr>
        <w:t xml:space="preserve"> </w:t>
      </w:r>
      <w:r w:rsidRPr="00656DF3">
        <w:rPr>
          <w:color w:val="010000"/>
        </w:rPr>
        <w:t>İhlalin ve sonuçlarının ortadan kaldırılması için yapılması gerekenlere hükmedilmeden önce ihlalin kaynağının belirlenmesi gerekir. Buna göre ihlal; idari eylem ve işlemler, yargısal işlemler veya yasama işlemlerinden kaynaklanabilir. İhlalin kaynağının belirlenmesi uygun giderim yolunun belirlenebilmesi bakımından önem taşımaktadır (</w:t>
      </w:r>
      <w:r w:rsidRPr="00656DF3">
        <w:rPr>
          <w:i/>
          <w:iCs/>
          <w:color w:val="010000"/>
        </w:rPr>
        <w:t>Mehmet Doğan</w:t>
      </w:r>
      <w:r w:rsidRPr="00656DF3">
        <w:rPr>
          <w:color w:val="010000"/>
        </w:rPr>
        <w:t>, § 57).</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29.</w:t>
      </w:r>
      <w:r w:rsidR="00656DF3" w:rsidRPr="00656DF3">
        <w:rPr>
          <w:color w:val="010000"/>
        </w:rPr>
        <w:t xml:space="preserve"> </w:t>
      </w:r>
      <w:r w:rsidRPr="00656DF3">
        <w:rPr>
          <w:color w:val="010000"/>
        </w:rPr>
        <w:t xml:space="preserve">İhlalin derece mahkemelerinin ilgili kanunu yorumlamasından kaynaklandığı bazı hâllerde tazminata hükmedilmesi ihlalin bütün sonuçlarıyla giderilmesi için yeterlidir. Ancak bireysel başvurunun amacına uygun olarak benzer ihlallere yol açan </w:t>
      </w:r>
      <w:r w:rsidRPr="00656DF3">
        <w:rPr>
          <w:color w:val="010000"/>
        </w:rPr>
        <w:lastRenderedPageBreak/>
        <w:t>yorumun aynı yargı kolundaki en üst yargı mercii tarafından ele alınarak uygulamadaki içtihat dağınıklığına engel olacak nitelikte birtakım tedbirlerin alınması da gerekmektedir.</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30.</w:t>
      </w:r>
      <w:r w:rsidR="00656DF3" w:rsidRPr="00656DF3">
        <w:rPr>
          <w:color w:val="010000"/>
        </w:rPr>
        <w:t xml:space="preserve"> </w:t>
      </w:r>
      <w:r w:rsidRPr="00656DF3">
        <w:rPr>
          <w:color w:val="010000"/>
        </w:rPr>
        <w:t xml:space="preserve">Anayasa Mahkemesince Anayasa'nın 36. maddesinde güvence altına alınan adil yargılanma hakkı kapsamındaki hakkaniyete uygun yargılanma hakkının ihlal edildiği sonucuna varılmıştır. Somut olaylarda ihlalin aynı hukuki nedene dayalı olarak benzer konumdaki kişiler tarafından açılan davalarda aradan geçen uzun zamana rağmen Yargıtay daireleri arasındaki görüş farkının ortadan kaldırılıp uygulama birliğinin sağlanmamasından kaynaklandığı anlaşılmaktadır. Diğer bir ifadeyle ihlal, başvurucuların aynı anda iki farklı yorumu yürürlükte bulunan ve bu nedenle belirlilik kriterini taşımayan bir hukuk kuralına tabi tutulmasından kaynaklanmaktadır. </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31.</w:t>
      </w:r>
      <w:r w:rsidR="00656DF3" w:rsidRPr="00656DF3">
        <w:rPr>
          <w:color w:val="010000"/>
        </w:rPr>
        <w:t xml:space="preserve"> </w:t>
      </w:r>
      <w:r w:rsidRPr="00656DF3">
        <w:rPr>
          <w:color w:val="010000"/>
        </w:rPr>
        <w:t xml:space="preserve">Anayasa Mahkemesince yapılan ihlal tespitinin derece mahkemesi kararının sonucuna yönelik olmadığının ve derece mahkemesince varılan sonuçtan bağımsız olduğunun altı çizilmelidir. Hâl böyle olunca ihlalin giderilmesi için yeniden yargılama yapılmasında hukuki yarar bulunmamaktadır. Aksi durum yani ihlalin giderim şekli olarak yargılamanın yenilenmesine hükmedilmesi, bu yorumlardan birine üstünlük tanınarak taraflardan bir lehine tercihte bulunulması anlamına gelebilecektir. Bu da var olan ihlali gidermeyeceği gibi derece mahkemesinde görülen uyuşmazlığın diğer tarafı aleyhine yeni ihlallerin doğmasına yol açabilecektir. Dolayısıyla somut olayda, yargılamanın yenilenmesi ihlalin sonuçlarını ortadan kaldıracak nitelikte bir yol olarak kabul edilemeyeceğinden, başvurucuların manevi tazminat talep etmedikleri de dikkate alınarak yalnızca ihlalin tespitine karar verilmesi gerekir. </w:t>
      </w:r>
    </w:p>
    <w:p w:rsidR="00654E3A" w:rsidRPr="00656DF3" w:rsidRDefault="00654E3A" w:rsidP="00656DF3">
      <w:pPr>
        <w:pStyle w:val="edf1511959760111"/>
        <w:widowControl/>
        <w:suppressAutoHyphens w:val="0"/>
        <w:spacing w:after="200"/>
        <w:ind w:left="283" w:right="283" w:firstLine="567"/>
        <w:jc w:val="both"/>
        <w:rPr>
          <w:rFonts w:cs="Times New Roman"/>
          <w:color w:val="010000"/>
        </w:rPr>
      </w:pPr>
      <w:r w:rsidRPr="00656DF3">
        <w:rPr>
          <w:rFonts w:cs="Times New Roman"/>
          <w:color w:val="010000"/>
        </w:rPr>
        <w:t>32.</w:t>
      </w:r>
      <w:r w:rsidR="00656DF3" w:rsidRPr="00656DF3">
        <w:rPr>
          <w:rFonts w:cs="Times New Roman"/>
          <w:color w:val="010000"/>
        </w:rPr>
        <w:t xml:space="preserve"> </w:t>
      </w:r>
      <w:r w:rsidRPr="00656DF3">
        <w:rPr>
          <w:rFonts w:cs="Times New Roman"/>
          <w:color w:val="010000"/>
        </w:rPr>
        <w:t>Dosyadaki belgelerden tespit edilen ekli tablonun E sütununda belirtilen harç tutarlarının başvuruculara ayrı ayrı, 3.000 TL vekâlet ücretinin müştereken ödenmesine karar verilmesi gerekir.</w:t>
      </w:r>
      <w:r w:rsidR="00656DF3" w:rsidRPr="00656DF3">
        <w:rPr>
          <w:rFonts w:cs="Times New Roman"/>
          <w:color w:val="010000"/>
        </w:rPr>
        <w:t xml:space="preserve"> </w:t>
      </w:r>
    </w:p>
    <w:p w:rsidR="00654E3A" w:rsidRPr="00656DF3" w:rsidRDefault="00654E3A" w:rsidP="00656DF3">
      <w:pPr>
        <w:widowControl/>
        <w:suppressAutoHyphens w:val="0"/>
        <w:spacing w:after="200"/>
        <w:ind w:left="283" w:right="283" w:firstLine="567"/>
        <w:jc w:val="both"/>
        <w:rPr>
          <w:b/>
          <w:color w:val="010000"/>
        </w:rPr>
      </w:pPr>
      <w:r w:rsidRPr="00656DF3">
        <w:rPr>
          <w:b/>
          <w:color w:val="010000"/>
        </w:rPr>
        <w:t>VI.</w:t>
      </w:r>
      <w:r w:rsidR="00656DF3" w:rsidRPr="00656DF3">
        <w:rPr>
          <w:color w:val="010000"/>
        </w:rPr>
        <w:t xml:space="preserve"> </w:t>
      </w:r>
      <w:r w:rsidRPr="00656DF3">
        <w:rPr>
          <w:b/>
          <w:color w:val="010000"/>
        </w:rPr>
        <w:t>HÜKÜM</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Açıklanan gerekçelerle;</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A.</w:t>
      </w:r>
      <w:r w:rsidR="00656DF3" w:rsidRPr="00656DF3">
        <w:rPr>
          <w:color w:val="010000"/>
        </w:rPr>
        <w:t xml:space="preserve"> </w:t>
      </w:r>
      <w:r w:rsidRPr="00656DF3">
        <w:rPr>
          <w:color w:val="010000"/>
        </w:rPr>
        <w:t>Hakkaniyete uygun yargılanma hakkının ihlal edildiğine ilişkin iddianın KABUL EDİLEBİLİR OLDUĞUNA,</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B.</w:t>
      </w:r>
      <w:r w:rsidR="00656DF3" w:rsidRPr="00656DF3">
        <w:rPr>
          <w:color w:val="010000"/>
        </w:rPr>
        <w:t xml:space="preserve"> </w:t>
      </w:r>
      <w:r w:rsidRPr="00656DF3">
        <w:rPr>
          <w:color w:val="010000"/>
        </w:rPr>
        <w:t>Anayasa’nın 36. maddesinde güvence altına alınan adil yargılanma hakkı kapsamındaki hakkaniyete uygun yargılanma hakkının İHLAL EDİLDİĞİNE,</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C.</w:t>
      </w:r>
      <w:r w:rsidR="00656DF3" w:rsidRPr="00656DF3">
        <w:rPr>
          <w:color w:val="010000"/>
        </w:rPr>
        <w:t xml:space="preserve"> </w:t>
      </w:r>
      <w:r w:rsidRPr="00656DF3">
        <w:rPr>
          <w:color w:val="010000"/>
        </w:rPr>
        <w:t>Ekli tablonun E sütununda belirtilen harç tutarlarının başvuruculara AYRI AYRI, 3.000 TL vekâlet ücretinin MÜŞTEREKEN ÖDENMESİNE,</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D.</w:t>
      </w:r>
      <w:r w:rsidR="00656DF3" w:rsidRPr="00656DF3">
        <w:rPr>
          <w:color w:val="010000"/>
        </w:rPr>
        <w:t xml:space="preserve"> </w:t>
      </w:r>
      <w:r w:rsidRPr="00656DF3">
        <w:rPr>
          <w:color w:val="010000"/>
        </w:rPr>
        <w:t>Ödemenin,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654E3A" w:rsidRPr="00656DF3" w:rsidRDefault="00654E3A" w:rsidP="00656DF3">
      <w:pPr>
        <w:widowControl/>
        <w:suppressAutoHyphens w:val="0"/>
        <w:spacing w:after="200"/>
        <w:ind w:left="283" w:right="283" w:firstLine="567"/>
        <w:jc w:val="both"/>
        <w:rPr>
          <w:color w:val="010000"/>
        </w:rPr>
      </w:pPr>
      <w:r w:rsidRPr="00656DF3">
        <w:rPr>
          <w:color w:val="010000"/>
        </w:rPr>
        <w:t>E.</w:t>
      </w:r>
      <w:r w:rsidR="00656DF3" w:rsidRPr="00656DF3">
        <w:rPr>
          <w:color w:val="010000"/>
        </w:rPr>
        <w:t xml:space="preserve"> </w:t>
      </w:r>
      <w:r w:rsidRPr="00656DF3">
        <w:rPr>
          <w:color w:val="010000"/>
        </w:rPr>
        <w:t>Kararın bir örneğinin Adalet Bakanlığına GÖNDERİLMESİNE 30/9/2020 tarihinde OYBİRLİĞİYLE karar verildi.</w:t>
      </w:r>
    </w:p>
    <w:sectPr w:rsidR="00654E3A" w:rsidRPr="00656DF3" w:rsidSect="00656DF3">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71B9D" w:rsidRDefault="00B71B9D">
      <w:r>
        <w:separator/>
      </w:r>
    </w:p>
  </w:endnote>
  <w:endnote w:type="continuationSeparator" w:id="0">
    <w:p w:rsidR="00B71B9D" w:rsidRDefault="00B71B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4E3A" w:rsidRDefault="00654E3A">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8</w:t>
    </w:r>
    <w:r>
      <w:rPr>
        <w:color w:val="000000"/>
        <w:sz w:val="22"/>
      </w:rPr>
      <w:fldChar w:fldCharType="end"/>
    </w:r>
  </w:p>
  <w:p w:rsidR="00654E3A" w:rsidRDefault="00654E3A">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71B9D" w:rsidRDefault="00B71B9D">
      <w:r>
        <w:separator/>
      </w:r>
    </w:p>
  </w:footnote>
  <w:footnote w:type="continuationSeparator" w:id="0">
    <w:p w:rsidR="00B71B9D" w:rsidRDefault="00B71B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4E3A" w:rsidRDefault="00654E3A">
    <w:pPr>
      <w:pStyle w:val="stBilgi"/>
      <w:tabs>
        <w:tab w:val="left" w:pos="2020"/>
      </w:tabs>
      <w:spacing w:line="288" w:lineRule="exact"/>
    </w:pPr>
    <w:r>
      <w:t>Başvuru Numarası</w:t>
    </w:r>
    <w:r>
      <w:tab/>
      <w:t>: 2018/1497</w:t>
    </w:r>
  </w:p>
  <w:p w:rsidR="00654E3A" w:rsidRDefault="00654E3A" w:rsidP="00656DF3">
    <w:pPr>
      <w:pStyle w:val="stBilgi"/>
      <w:tabs>
        <w:tab w:val="left" w:pos="2020"/>
      </w:tabs>
      <w:spacing w:line="288" w:lineRule="exact"/>
    </w:pPr>
    <w:r>
      <w:t>Karar Tarihi</w:t>
    </w:r>
    <w:r>
      <w:tab/>
      <w:t>: 30/9/2020</w:t>
    </w:r>
  </w:p>
  <w:p w:rsidR="00656DF3" w:rsidRDefault="00656DF3" w:rsidP="00656DF3">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1395"/>
    <w:rsid w:val="004533F4"/>
    <w:rsid w:val="005D1383"/>
    <w:rsid w:val="00654E3A"/>
    <w:rsid w:val="00656DF3"/>
    <w:rsid w:val="00B71B9D"/>
    <w:rsid w:val="00D9139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ECD2831"/>
  <w15:chartTrackingRefBased/>
  <w15:docId w15:val="{8E9CDAB7-BF45-4EFA-B58E-CCCC5B0A1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Heading">
    <w:name w:val="Heading"/>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Index">
    <w:name w:val="Index"/>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84638039816">
    <w:name w:val="edf_1484638039816"/>
    <w:pPr>
      <w:widowControl w:val="0"/>
      <w:suppressAutoHyphens/>
    </w:pPr>
    <w:rPr>
      <w:rFonts w:eastAsia="Andale Sans UI" w:cs="Tahoma"/>
      <w:kern w:val="1"/>
      <w:sz w:val="24"/>
      <w:szCs w:val="24"/>
      <w:lang w:eastAsia="fa-IR" w:bidi="fa-IR"/>
    </w:rPr>
  </w:style>
  <w:style w:type="paragraph" w:customStyle="1" w:styleId="edf1449480327858">
    <w:name w:val="edf_144948032785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511959760111">
    <w:name w:val="edf_1511959760111"/>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84296206054">
    <w:name w:val="edf_1484296206054"/>
    <w:pPr>
      <w:widowControl w:val="0"/>
      <w:suppressAutoHyphens/>
    </w:pPr>
    <w:rPr>
      <w:rFonts w:eastAsia="Andale Sans UI" w:cs="Tahoma"/>
      <w:kern w:val="1"/>
      <w:sz w:val="24"/>
      <w:szCs w:val="24"/>
      <w:lang w:eastAsia="fa-IR" w:bidi="fa-IR"/>
    </w:rPr>
  </w:style>
  <w:style w:type="paragraph" w:customStyle="1" w:styleId="edf1449434200705">
    <w:name w:val="edf_1449434200705"/>
    <w:pPr>
      <w:widowControl w:val="0"/>
      <w:suppressAutoHyphens/>
    </w:pPr>
    <w:rPr>
      <w:rFonts w:eastAsia="Andale Sans UI" w:cs="Tahoma"/>
      <w:kern w:val="1"/>
      <w:sz w:val="24"/>
      <w:szCs w:val="24"/>
      <w:lang w:eastAsia="fa-IR" w:bidi="fa-IR"/>
    </w:rPr>
  </w:style>
  <w:style w:type="paragraph" w:customStyle="1" w:styleId="edf1484295656226">
    <w:name w:val="edf_1484295656226"/>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2147</Words>
  <Characters>12244</Characters>
  <Application>Microsoft Office Word</Application>
  <DocSecurity>0</DocSecurity>
  <Lines>102</Lines>
  <Paragraphs>28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Nahide ÖNEŞ</dc:creator>
  <cp:keywords/>
  <cp:lastModifiedBy>Sibel YÖNDEM</cp:lastModifiedBy>
  <cp:revision>4</cp:revision>
  <cp:lastPrinted>1899-12-31T21:00:00Z</cp:lastPrinted>
  <dcterms:created xsi:type="dcterms:W3CDTF">2020-11-11T13:15:00Z</dcterms:created>
  <dcterms:modified xsi:type="dcterms:W3CDTF">2020-11-13T05:48:00Z</dcterms:modified>
</cp:coreProperties>
</file>