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ED2373" w:rsidRDefault="00ED2373" w:rsidP="00ED2373">
      <w:pPr>
        <w:widowControl/>
        <w:suppressAutoHyphens w:val="0"/>
        <w:spacing w:after="200"/>
        <w:ind w:left="283" w:right="283" w:firstLine="567"/>
        <w:jc w:val="both"/>
        <w:rPr>
          <w:b/>
          <w:color w:val="010000"/>
          <w:sz w:val="28"/>
        </w:rPr>
      </w:pPr>
    </w:p>
    <w:p w:rsidR="00ED2373" w:rsidRDefault="00ED2373" w:rsidP="00ED2373">
      <w:pPr>
        <w:widowControl/>
        <w:suppressAutoHyphens w:val="0"/>
        <w:spacing w:after="200"/>
        <w:ind w:left="283" w:right="283" w:firstLine="567"/>
        <w:jc w:val="both"/>
        <w:rPr>
          <w:b/>
          <w:color w:val="010000"/>
          <w:sz w:val="28"/>
        </w:rPr>
      </w:pPr>
    </w:p>
    <w:p w:rsidR="00ED2373" w:rsidRDefault="00ED2373" w:rsidP="00ED2373">
      <w:pPr>
        <w:widowControl/>
        <w:suppressAutoHyphens w:val="0"/>
        <w:spacing w:after="200"/>
        <w:ind w:left="283" w:right="283" w:firstLine="567"/>
        <w:jc w:val="both"/>
        <w:rPr>
          <w:b/>
          <w:color w:val="010000"/>
          <w:sz w:val="28"/>
        </w:rPr>
      </w:pPr>
    </w:p>
    <w:p w:rsidR="00ED2373" w:rsidRDefault="00ED2373" w:rsidP="00ED2373">
      <w:pPr>
        <w:widowControl/>
        <w:suppressAutoHyphens w:val="0"/>
        <w:spacing w:after="200"/>
        <w:ind w:left="283" w:right="283" w:firstLine="567"/>
        <w:jc w:val="both"/>
        <w:rPr>
          <w:b/>
          <w:color w:val="010000"/>
          <w:sz w:val="28"/>
        </w:rPr>
      </w:pPr>
    </w:p>
    <w:tbl>
      <w:tblPr>
        <w:tblW w:w="0" w:type="auto"/>
        <w:jc w:val="center"/>
        <w:tblLayout w:type="fixed"/>
        <w:tblCellMar>
          <w:left w:w="70" w:type="dxa"/>
          <w:right w:w="70" w:type="dxa"/>
        </w:tblCellMar>
        <w:tblLook w:val="0000" w:firstRow="0" w:lastRow="0" w:firstColumn="0" w:lastColumn="0" w:noHBand="0" w:noVBand="0"/>
      </w:tblPr>
      <w:tblGrid>
        <w:gridCol w:w="9072"/>
      </w:tblGrid>
      <w:tr w:rsidR="00ED2373" w:rsidRPr="00ED2373" w:rsidTr="00ED2373">
        <w:tblPrEx>
          <w:tblCellMar>
            <w:top w:w="0" w:type="dxa"/>
            <w:bottom w:w="0" w:type="dxa"/>
          </w:tblCellMar>
        </w:tblPrEx>
        <w:trPr>
          <w:trHeight w:val="500"/>
          <w:jc w:val="center"/>
        </w:trPr>
        <w:tc>
          <w:tcPr>
            <w:tcW w:w="9072" w:type="dxa"/>
            <w:vAlign w:val="center"/>
          </w:tcPr>
          <w:p w:rsidR="00ED2373" w:rsidRPr="00ED2373" w:rsidRDefault="00ED2373" w:rsidP="00ED2373">
            <w:pPr>
              <w:widowControl/>
              <w:suppressAutoHyphens w:val="0"/>
              <w:spacing w:after="200"/>
              <w:ind w:right="283"/>
              <w:jc w:val="center"/>
              <w:rPr>
                <w:b/>
                <w:color w:val="010000"/>
                <w:sz w:val="28"/>
              </w:rPr>
            </w:pPr>
            <w:r>
              <w:rPr>
                <w:b/>
                <w:color w:val="010000"/>
                <w:sz w:val="28"/>
              </w:rPr>
              <w:t>TÜRKİYE CUMHURİYETİ</w:t>
            </w:r>
          </w:p>
        </w:tc>
      </w:tr>
      <w:tr w:rsidR="00ED2373" w:rsidRPr="00ED2373" w:rsidTr="00ED2373">
        <w:tblPrEx>
          <w:tblCellMar>
            <w:top w:w="0" w:type="dxa"/>
            <w:bottom w:w="0" w:type="dxa"/>
          </w:tblCellMar>
        </w:tblPrEx>
        <w:trPr>
          <w:trHeight w:val="500"/>
          <w:jc w:val="center"/>
        </w:trPr>
        <w:tc>
          <w:tcPr>
            <w:tcW w:w="9072" w:type="dxa"/>
            <w:vAlign w:val="center"/>
          </w:tcPr>
          <w:p w:rsidR="00ED2373" w:rsidRPr="00ED2373" w:rsidRDefault="00ED2373" w:rsidP="00ED2373">
            <w:pPr>
              <w:widowControl/>
              <w:suppressAutoHyphens w:val="0"/>
              <w:spacing w:after="200"/>
              <w:ind w:right="283"/>
              <w:jc w:val="center"/>
              <w:rPr>
                <w:b/>
                <w:color w:val="010000"/>
                <w:sz w:val="32"/>
              </w:rPr>
            </w:pPr>
            <w:r>
              <w:rPr>
                <w:b/>
                <w:color w:val="010000"/>
                <w:sz w:val="32"/>
              </w:rPr>
              <w:t>ANAYASA MAHKEMESİ</w:t>
            </w:r>
          </w:p>
        </w:tc>
      </w:tr>
      <w:tr w:rsidR="00ED2373" w:rsidRPr="00ED2373" w:rsidTr="00ED2373">
        <w:tblPrEx>
          <w:tblCellMar>
            <w:top w:w="0" w:type="dxa"/>
            <w:bottom w:w="0" w:type="dxa"/>
          </w:tblCellMar>
        </w:tblPrEx>
        <w:trPr>
          <w:trHeight w:val="500"/>
          <w:jc w:val="center"/>
        </w:trPr>
        <w:tc>
          <w:tcPr>
            <w:tcW w:w="9072" w:type="dxa"/>
            <w:vAlign w:val="center"/>
          </w:tcPr>
          <w:p w:rsidR="00ED2373" w:rsidRPr="00ED2373" w:rsidRDefault="00ED2373" w:rsidP="00ED2373">
            <w:pPr>
              <w:widowControl/>
              <w:suppressAutoHyphens w:val="0"/>
              <w:spacing w:after="200"/>
              <w:ind w:right="283"/>
              <w:jc w:val="center"/>
              <w:rPr>
                <w:b/>
                <w:color w:val="010000"/>
              </w:rPr>
            </w:pPr>
          </w:p>
        </w:tc>
      </w:tr>
      <w:tr w:rsidR="00ED2373" w:rsidRPr="00ED2373" w:rsidTr="00ED2373">
        <w:tblPrEx>
          <w:tblCellMar>
            <w:top w:w="0" w:type="dxa"/>
            <w:bottom w:w="0" w:type="dxa"/>
          </w:tblCellMar>
        </w:tblPrEx>
        <w:trPr>
          <w:trHeight w:val="500"/>
          <w:jc w:val="center"/>
        </w:trPr>
        <w:tc>
          <w:tcPr>
            <w:tcW w:w="9072" w:type="dxa"/>
            <w:vAlign w:val="center"/>
          </w:tcPr>
          <w:p w:rsidR="00ED2373" w:rsidRPr="00ED2373" w:rsidRDefault="00ED2373" w:rsidP="00ED2373">
            <w:pPr>
              <w:widowControl/>
              <w:suppressAutoHyphens w:val="0"/>
              <w:spacing w:after="200"/>
              <w:ind w:right="283"/>
              <w:jc w:val="center"/>
              <w:rPr>
                <w:b/>
                <w:color w:val="010000"/>
              </w:rPr>
            </w:pPr>
          </w:p>
        </w:tc>
      </w:tr>
      <w:tr w:rsidR="00ED2373" w:rsidRPr="00ED2373" w:rsidTr="00ED2373">
        <w:tblPrEx>
          <w:tblCellMar>
            <w:top w:w="0" w:type="dxa"/>
            <w:bottom w:w="0" w:type="dxa"/>
          </w:tblCellMar>
        </w:tblPrEx>
        <w:trPr>
          <w:trHeight w:val="500"/>
          <w:jc w:val="center"/>
        </w:trPr>
        <w:tc>
          <w:tcPr>
            <w:tcW w:w="9072" w:type="dxa"/>
            <w:vAlign w:val="center"/>
          </w:tcPr>
          <w:p w:rsidR="00ED2373" w:rsidRPr="00ED2373" w:rsidRDefault="00ED2373" w:rsidP="00ED2373">
            <w:pPr>
              <w:widowControl/>
              <w:suppressAutoHyphens w:val="0"/>
              <w:spacing w:after="200"/>
              <w:ind w:right="283"/>
              <w:jc w:val="center"/>
              <w:rPr>
                <w:b/>
                <w:color w:val="010000"/>
              </w:rPr>
            </w:pPr>
            <w:r>
              <w:rPr>
                <w:b/>
                <w:color w:val="010000"/>
              </w:rPr>
              <w:t>İKİNCİ BÖLÜM</w:t>
            </w:r>
          </w:p>
        </w:tc>
      </w:tr>
      <w:tr w:rsidR="00ED2373" w:rsidRPr="00ED2373" w:rsidTr="00ED2373">
        <w:tblPrEx>
          <w:tblCellMar>
            <w:top w:w="0" w:type="dxa"/>
            <w:bottom w:w="0" w:type="dxa"/>
          </w:tblCellMar>
        </w:tblPrEx>
        <w:trPr>
          <w:trHeight w:val="500"/>
          <w:jc w:val="center"/>
        </w:trPr>
        <w:tc>
          <w:tcPr>
            <w:tcW w:w="9072" w:type="dxa"/>
            <w:vAlign w:val="center"/>
          </w:tcPr>
          <w:p w:rsidR="00ED2373" w:rsidRPr="00ED2373" w:rsidRDefault="00ED2373" w:rsidP="00ED2373">
            <w:pPr>
              <w:widowControl/>
              <w:suppressAutoHyphens w:val="0"/>
              <w:spacing w:after="200"/>
              <w:ind w:right="283"/>
              <w:jc w:val="center"/>
              <w:rPr>
                <w:b/>
                <w:color w:val="010000"/>
              </w:rPr>
            </w:pPr>
          </w:p>
        </w:tc>
      </w:tr>
      <w:tr w:rsidR="00ED2373" w:rsidRPr="00ED2373" w:rsidTr="00ED2373">
        <w:tblPrEx>
          <w:tblCellMar>
            <w:top w:w="0" w:type="dxa"/>
            <w:bottom w:w="0" w:type="dxa"/>
          </w:tblCellMar>
        </w:tblPrEx>
        <w:trPr>
          <w:trHeight w:val="500"/>
          <w:jc w:val="center"/>
        </w:trPr>
        <w:tc>
          <w:tcPr>
            <w:tcW w:w="9072" w:type="dxa"/>
            <w:vAlign w:val="center"/>
          </w:tcPr>
          <w:p w:rsidR="00ED2373" w:rsidRPr="00ED2373" w:rsidRDefault="00ED2373" w:rsidP="00ED2373">
            <w:pPr>
              <w:widowControl/>
              <w:suppressAutoHyphens w:val="0"/>
              <w:spacing w:after="200"/>
              <w:ind w:right="283"/>
              <w:jc w:val="center"/>
              <w:rPr>
                <w:b/>
                <w:color w:val="010000"/>
              </w:rPr>
            </w:pPr>
            <w:r>
              <w:rPr>
                <w:b/>
                <w:color w:val="010000"/>
              </w:rPr>
              <w:t>KARAR</w:t>
            </w:r>
          </w:p>
        </w:tc>
      </w:tr>
      <w:tr w:rsidR="00ED2373" w:rsidRPr="00ED2373" w:rsidTr="00ED2373">
        <w:tblPrEx>
          <w:tblCellMar>
            <w:top w:w="0" w:type="dxa"/>
            <w:bottom w:w="0" w:type="dxa"/>
          </w:tblCellMar>
        </w:tblPrEx>
        <w:trPr>
          <w:trHeight w:val="500"/>
          <w:jc w:val="center"/>
        </w:trPr>
        <w:tc>
          <w:tcPr>
            <w:tcW w:w="9072" w:type="dxa"/>
            <w:vAlign w:val="center"/>
          </w:tcPr>
          <w:p w:rsidR="00ED2373" w:rsidRPr="00ED2373" w:rsidRDefault="00ED2373" w:rsidP="00ED2373">
            <w:pPr>
              <w:widowControl/>
              <w:suppressAutoHyphens w:val="0"/>
              <w:spacing w:after="200"/>
              <w:ind w:right="283"/>
              <w:jc w:val="center"/>
              <w:rPr>
                <w:b/>
                <w:color w:val="010000"/>
              </w:rPr>
            </w:pPr>
          </w:p>
        </w:tc>
      </w:tr>
      <w:tr w:rsidR="00ED2373" w:rsidRPr="00ED2373" w:rsidTr="00ED2373">
        <w:tblPrEx>
          <w:tblCellMar>
            <w:top w:w="0" w:type="dxa"/>
            <w:bottom w:w="0" w:type="dxa"/>
          </w:tblCellMar>
        </w:tblPrEx>
        <w:trPr>
          <w:trHeight w:val="500"/>
          <w:jc w:val="center"/>
        </w:trPr>
        <w:tc>
          <w:tcPr>
            <w:tcW w:w="9072" w:type="dxa"/>
            <w:vAlign w:val="center"/>
          </w:tcPr>
          <w:p w:rsidR="00ED2373" w:rsidRPr="00ED2373" w:rsidRDefault="00ED2373" w:rsidP="00ED2373">
            <w:pPr>
              <w:widowControl/>
              <w:suppressAutoHyphens w:val="0"/>
              <w:spacing w:after="200"/>
              <w:ind w:right="283"/>
              <w:jc w:val="center"/>
              <w:rPr>
                <w:b/>
                <w:color w:val="010000"/>
              </w:rPr>
            </w:pPr>
            <w:r>
              <w:rPr>
                <w:b/>
                <w:color w:val="010000"/>
              </w:rPr>
              <w:t>AYŞEN IŞIKLI VE DİĞERLERİ BAŞVURUSU</w:t>
            </w:r>
          </w:p>
        </w:tc>
      </w:tr>
      <w:tr w:rsidR="00ED2373" w:rsidRPr="00ED2373" w:rsidTr="00ED2373">
        <w:tblPrEx>
          <w:tblCellMar>
            <w:top w:w="0" w:type="dxa"/>
            <w:bottom w:w="0" w:type="dxa"/>
          </w:tblCellMar>
        </w:tblPrEx>
        <w:trPr>
          <w:trHeight w:val="500"/>
          <w:jc w:val="center"/>
        </w:trPr>
        <w:tc>
          <w:tcPr>
            <w:tcW w:w="9072" w:type="dxa"/>
            <w:vAlign w:val="center"/>
          </w:tcPr>
          <w:p w:rsidR="00ED2373" w:rsidRPr="00ED2373" w:rsidRDefault="00ED2373" w:rsidP="00ED2373">
            <w:pPr>
              <w:widowControl/>
              <w:suppressAutoHyphens w:val="0"/>
              <w:spacing w:after="200"/>
              <w:ind w:right="283"/>
              <w:jc w:val="center"/>
              <w:rPr>
                <w:color w:val="010000"/>
              </w:rPr>
            </w:pPr>
            <w:r>
              <w:rPr>
                <w:color w:val="010000"/>
              </w:rPr>
              <w:t>(Başvuru Numarası: 2018/35199)</w:t>
            </w:r>
          </w:p>
        </w:tc>
      </w:tr>
      <w:tr w:rsidR="00ED2373" w:rsidRPr="00ED2373" w:rsidTr="00ED2373">
        <w:tblPrEx>
          <w:tblCellMar>
            <w:top w:w="0" w:type="dxa"/>
            <w:bottom w:w="0" w:type="dxa"/>
          </w:tblCellMar>
        </w:tblPrEx>
        <w:trPr>
          <w:trHeight w:val="500"/>
          <w:jc w:val="center"/>
        </w:trPr>
        <w:tc>
          <w:tcPr>
            <w:tcW w:w="9072" w:type="dxa"/>
            <w:vAlign w:val="center"/>
          </w:tcPr>
          <w:p w:rsidR="00ED2373" w:rsidRPr="00ED2373" w:rsidRDefault="00ED2373" w:rsidP="00ED2373">
            <w:pPr>
              <w:widowControl/>
              <w:suppressAutoHyphens w:val="0"/>
              <w:spacing w:after="200"/>
              <w:ind w:right="283"/>
              <w:jc w:val="center"/>
              <w:rPr>
                <w:b/>
                <w:color w:val="010000"/>
              </w:rPr>
            </w:pPr>
          </w:p>
        </w:tc>
      </w:tr>
      <w:tr w:rsidR="00ED2373" w:rsidRPr="00ED2373" w:rsidTr="00ED2373">
        <w:tblPrEx>
          <w:tblCellMar>
            <w:top w:w="0" w:type="dxa"/>
            <w:bottom w:w="0" w:type="dxa"/>
          </w:tblCellMar>
        </w:tblPrEx>
        <w:trPr>
          <w:trHeight w:val="500"/>
          <w:jc w:val="center"/>
        </w:trPr>
        <w:tc>
          <w:tcPr>
            <w:tcW w:w="9072" w:type="dxa"/>
            <w:vAlign w:val="center"/>
          </w:tcPr>
          <w:p w:rsidR="00ED2373" w:rsidRPr="00ED2373" w:rsidRDefault="00ED2373" w:rsidP="00ED2373">
            <w:pPr>
              <w:widowControl/>
              <w:suppressAutoHyphens w:val="0"/>
              <w:spacing w:after="200"/>
              <w:ind w:right="283"/>
              <w:jc w:val="center"/>
              <w:rPr>
                <w:color w:val="010000"/>
              </w:rPr>
            </w:pPr>
            <w:r>
              <w:rPr>
                <w:color w:val="010000"/>
              </w:rPr>
              <w:t>Karar Tarihi: 11/2/2021</w:t>
            </w:r>
          </w:p>
        </w:tc>
      </w:tr>
      <w:tr w:rsidR="00ED2373" w:rsidRPr="00ED2373" w:rsidTr="00ED2373">
        <w:tblPrEx>
          <w:tblCellMar>
            <w:top w:w="0" w:type="dxa"/>
            <w:bottom w:w="0" w:type="dxa"/>
          </w:tblCellMar>
        </w:tblPrEx>
        <w:trPr>
          <w:trHeight w:val="500"/>
          <w:jc w:val="center"/>
        </w:trPr>
        <w:tc>
          <w:tcPr>
            <w:tcW w:w="9072" w:type="dxa"/>
            <w:vAlign w:val="center"/>
          </w:tcPr>
          <w:p w:rsidR="00ED2373" w:rsidRPr="00ED2373" w:rsidRDefault="00ED2373" w:rsidP="00ED2373">
            <w:pPr>
              <w:widowControl/>
              <w:suppressAutoHyphens w:val="0"/>
              <w:spacing w:after="200"/>
              <w:ind w:right="283"/>
              <w:jc w:val="center"/>
              <w:rPr>
                <w:color w:val="010000"/>
              </w:rPr>
            </w:pPr>
          </w:p>
        </w:tc>
      </w:tr>
      <w:tr w:rsidR="00ED2373" w:rsidRPr="00ED2373" w:rsidTr="00ED2373">
        <w:tblPrEx>
          <w:tblCellMar>
            <w:top w:w="0" w:type="dxa"/>
            <w:bottom w:w="0" w:type="dxa"/>
          </w:tblCellMar>
        </w:tblPrEx>
        <w:trPr>
          <w:trHeight w:val="500"/>
          <w:jc w:val="center"/>
        </w:trPr>
        <w:tc>
          <w:tcPr>
            <w:tcW w:w="9072" w:type="dxa"/>
            <w:vAlign w:val="center"/>
          </w:tcPr>
          <w:p w:rsidR="00ED2373" w:rsidRPr="00ED2373" w:rsidRDefault="00ED2373" w:rsidP="00ED2373">
            <w:pPr>
              <w:widowControl/>
              <w:suppressAutoHyphens w:val="0"/>
              <w:spacing w:after="200"/>
              <w:ind w:right="283"/>
              <w:jc w:val="center"/>
              <w:rPr>
                <w:b/>
                <w:color w:val="010000"/>
              </w:rPr>
            </w:pPr>
          </w:p>
        </w:tc>
      </w:tr>
      <w:tr w:rsidR="00ED2373" w:rsidRPr="00ED2373" w:rsidTr="00ED2373">
        <w:tblPrEx>
          <w:tblCellMar>
            <w:top w:w="0" w:type="dxa"/>
            <w:bottom w:w="0" w:type="dxa"/>
          </w:tblCellMar>
        </w:tblPrEx>
        <w:trPr>
          <w:trHeight w:val="500"/>
          <w:jc w:val="center"/>
        </w:trPr>
        <w:tc>
          <w:tcPr>
            <w:tcW w:w="9072" w:type="dxa"/>
            <w:vAlign w:val="center"/>
          </w:tcPr>
          <w:p w:rsidR="00ED2373" w:rsidRPr="00ED2373" w:rsidRDefault="00ED2373" w:rsidP="00ED2373">
            <w:pPr>
              <w:widowControl/>
              <w:suppressAutoHyphens w:val="0"/>
              <w:spacing w:after="200"/>
              <w:ind w:right="283"/>
              <w:jc w:val="center"/>
              <w:rPr>
                <w:b/>
                <w:color w:val="010000"/>
              </w:rPr>
            </w:pPr>
          </w:p>
        </w:tc>
      </w:tr>
      <w:tr w:rsidR="00ED2373" w:rsidRPr="00ED2373" w:rsidTr="00ED2373">
        <w:tblPrEx>
          <w:tblCellMar>
            <w:top w:w="0" w:type="dxa"/>
            <w:bottom w:w="0" w:type="dxa"/>
          </w:tblCellMar>
        </w:tblPrEx>
        <w:trPr>
          <w:trHeight w:val="500"/>
          <w:jc w:val="center"/>
        </w:trPr>
        <w:tc>
          <w:tcPr>
            <w:tcW w:w="9072" w:type="dxa"/>
            <w:vAlign w:val="center"/>
          </w:tcPr>
          <w:p w:rsidR="00ED2373" w:rsidRPr="00ED2373" w:rsidRDefault="00ED2373" w:rsidP="00ED2373">
            <w:pPr>
              <w:widowControl/>
              <w:suppressAutoHyphens w:val="0"/>
              <w:spacing w:after="200"/>
              <w:ind w:right="283"/>
              <w:jc w:val="center"/>
              <w:rPr>
                <w:b/>
                <w:color w:val="010000"/>
              </w:rPr>
            </w:pPr>
          </w:p>
        </w:tc>
      </w:tr>
      <w:tr w:rsidR="00ED2373" w:rsidRPr="00ED2373" w:rsidTr="00ED2373">
        <w:tblPrEx>
          <w:tblCellMar>
            <w:top w:w="0" w:type="dxa"/>
            <w:bottom w:w="0" w:type="dxa"/>
          </w:tblCellMar>
        </w:tblPrEx>
        <w:trPr>
          <w:trHeight w:val="500"/>
          <w:jc w:val="center"/>
        </w:trPr>
        <w:tc>
          <w:tcPr>
            <w:tcW w:w="9072" w:type="dxa"/>
            <w:vAlign w:val="center"/>
          </w:tcPr>
          <w:p w:rsidR="00ED2373" w:rsidRPr="00ED2373" w:rsidRDefault="00ED2373" w:rsidP="00ED2373">
            <w:pPr>
              <w:widowControl/>
              <w:suppressAutoHyphens w:val="0"/>
              <w:spacing w:after="200"/>
              <w:ind w:right="283"/>
              <w:jc w:val="center"/>
              <w:rPr>
                <w:b/>
                <w:color w:val="010000"/>
              </w:rPr>
            </w:pPr>
          </w:p>
        </w:tc>
      </w:tr>
    </w:tbl>
    <w:p w:rsidR="00ED2373" w:rsidRDefault="00ED2373" w:rsidP="00ED2373">
      <w:pPr>
        <w:widowControl/>
        <w:suppressAutoHyphens w:val="0"/>
        <w:spacing w:after="200"/>
        <w:ind w:left="283" w:right="283" w:firstLine="567"/>
        <w:jc w:val="both"/>
        <w:rPr>
          <w:b/>
          <w:color w:val="010000"/>
        </w:rPr>
        <w:sectPr w:rsidR="00ED2373" w:rsidSect="00ED2373">
          <w:headerReference w:type="default" r:id="rId6"/>
          <w:footerReference w:type="default" r:id="rId7"/>
          <w:pgSz w:w="11906" w:h="16838"/>
          <w:pgMar w:top="976" w:right="1417" w:bottom="941" w:left="1417" w:header="400" w:footer="400" w:gutter="0"/>
          <w:cols w:space="708"/>
          <w:titlePg/>
          <w:docGrid w:linePitch="326"/>
        </w:sectPr>
      </w:pPr>
    </w:p>
    <w:p w:rsidR="00ED2373" w:rsidRDefault="00ED2373" w:rsidP="00ED2373">
      <w:pPr>
        <w:widowControl/>
        <w:suppressAutoHyphens w:val="0"/>
        <w:spacing w:after="200"/>
        <w:ind w:left="283" w:right="283" w:firstLine="567"/>
        <w:jc w:val="both"/>
        <w:rPr>
          <w:b/>
          <w:color w:val="010000"/>
        </w:rPr>
      </w:pPr>
    </w:p>
    <w:p w:rsidR="00C5583C" w:rsidRPr="00ED2373" w:rsidRDefault="00C5583C" w:rsidP="00ED2373">
      <w:pPr>
        <w:widowControl/>
        <w:suppressAutoHyphens w:val="0"/>
        <w:spacing w:after="200"/>
        <w:ind w:left="283" w:right="283" w:firstLine="1"/>
        <w:jc w:val="center"/>
        <w:rPr>
          <w:color w:val="010000"/>
        </w:rPr>
      </w:pPr>
      <w:r w:rsidRPr="00ED2373">
        <w:rPr>
          <w:b/>
          <w:color w:val="010000"/>
        </w:rPr>
        <w:t>İKİNCİ BÖLÜM</w:t>
      </w:r>
    </w:p>
    <w:p w:rsidR="00C5583C" w:rsidRPr="00ED2373" w:rsidRDefault="00C5583C" w:rsidP="00ED2373">
      <w:pPr>
        <w:widowControl/>
        <w:suppressAutoHyphens w:val="0"/>
        <w:spacing w:after="200"/>
        <w:ind w:left="283" w:right="283" w:firstLine="1"/>
        <w:jc w:val="center"/>
        <w:rPr>
          <w:color w:val="010000"/>
        </w:rPr>
      </w:pPr>
      <w:r w:rsidRPr="00ED2373">
        <w:rPr>
          <w:b/>
          <w:color w:val="010000"/>
        </w:rPr>
        <w:t>KARAR</w:t>
      </w:r>
    </w:p>
    <w:p w:rsidR="00ED2373" w:rsidRDefault="00ED2373" w:rsidP="00ED2373">
      <w:pPr>
        <w:widowControl/>
        <w:suppressAutoHyphens w:val="0"/>
        <w:spacing w:after="200"/>
        <w:ind w:left="283" w:right="283" w:firstLine="567"/>
        <w:jc w:val="both"/>
        <w:rPr>
          <w:b/>
          <w:color w:val="010000"/>
          <w:lang w:eastAsia="fa-IR" w:bidi="fa-IR"/>
        </w:rPr>
      </w:pPr>
    </w:p>
    <w:tbl>
      <w:tblPr>
        <w:tblW w:w="0" w:type="auto"/>
        <w:tblInd w:w="800" w:type="dxa"/>
        <w:tblLayout w:type="fixed"/>
        <w:tblCellMar>
          <w:left w:w="70" w:type="dxa"/>
          <w:right w:w="70" w:type="dxa"/>
        </w:tblCellMar>
        <w:tblLook w:val="0000" w:firstRow="0" w:lastRow="0" w:firstColumn="0" w:lastColumn="0" w:noHBand="0" w:noVBand="0"/>
      </w:tblPr>
      <w:tblGrid>
        <w:gridCol w:w="2400"/>
        <w:gridCol w:w="200"/>
        <w:gridCol w:w="5400"/>
      </w:tblGrid>
      <w:tr w:rsidR="00ED2373" w:rsidRPr="00ED2373" w:rsidTr="00ED2373">
        <w:tblPrEx>
          <w:tblCellMar>
            <w:top w:w="0" w:type="dxa"/>
            <w:bottom w:w="0" w:type="dxa"/>
          </w:tblCellMar>
        </w:tblPrEx>
        <w:trPr>
          <w:trHeight w:val="454"/>
        </w:trPr>
        <w:tc>
          <w:tcPr>
            <w:tcW w:w="2400" w:type="dxa"/>
          </w:tcPr>
          <w:p w:rsidR="00ED2373" w:rsidRPr="00ED2373" w:rsidRDefault="00ED2373" w:rsidP="00ED2373">
            <w:pPr>
              <w:widowControl/>
              <w:suppressAutoHyphens w:val="0"/>
              <w:rPr>
                <w:b/>
                <w:color w:val="010000"/>
              </w:rPr>
            </w:pPr>
            <w:r w:rsidRPr="00ED2373">
              <w:rPr>
                <w:b/>
                <w:color w:val="010000"/>
              </w:rPr>
              <w:t>Başkan</w:t>
            </w:r>
          </w:p>
        </w:tc>
        <w:tc>
          <w:tcPr>
            <w:tcW w:w="200" w:type="dxa"/>
          </w:tcPr>
          <w:p w:rsidR="00ED2373" w:rsidRPr="00ED2373" w:rsidRDefault="00ED2373" w:rsidP="00ED2373">
            <w:pPr>
              <w:widowControl/>
              <w:suppressAutoHyphens w:val="0"/>
              <w:rPr>
                <w:b/>
                <w:color w:val="010000"/>
              </w:rPr>
            </w:pPr>
            <w:r w:rsidRPr="00ED2373">
              <w:rPr>
                <w:b/>
                <w:color w:val="010000"/>
              </w:rPr>
              <w:t>:</w:t>
            </w:r>
          </w:p>
        </w:tc>
        <w:tc>
          <w:tcPr>
            <w:tcW w:w="5400" w:type="dxa"/>
          </w:tcPr>
          <w:p w:rsidR="00ED2373" w:rsidRPr="00ED2373" w:rsidRDefault="00ED2373" w:rsidP="00ED2373">
            <w:pPr>
              <w:widowControl/>
              <w:suppressAutoHyphens w:val="0"/>
              <w:rPr>
                <w:color w:val="010000"/>
              </w:rPr>
            </w:pPr>
            <w:r w:rsidRPr="00ED2373">
              <w:rPr>
                <w:color w:val="010000"/>
              </w:rPr>
              <w:t>Kadir ÖZKAYA</w:t>
            </w:r>
          </w:p>
        </w:tc>
      </w:tr>
      <w:tr w:rsidR="00ED2373" w:rsidRPr="00ED2373" w:rsidTr="00ED2373">
        <w:tblPrEx>
          <w:tblCellMar>
            <w:top w:w="0" w:type="dxa"/>
            <w:bottom w:w="0" w:type="dxa"/>
          </w:tblCellMar>
        </w:tblPrEx>
        <w:trPr>
          <w:trHeight w:val="454"/>
        </w:trPr>
        <w:tc>
          <w:tcPr>
            <w:tcW w:w="2400" w:type="dxa"/>
          </w:tcPr>
          <w:p w:rsidR="00ED2373" w:rsidRPr="00ED2373" w:rsidRDefault="00ED2373" w:rsidP="00ED2373">
            <w:pPr>
              <w:widowControl/>
              <w:suppressAutoHyphens w:val="0"/>
              <w:rPr>
                <w:b/>
                <w:color w:val="010000"/>
              </w:rPr>
            </w:pPr>
            <w:r w:rsidRPr="00ED2373">
              <w:rPr>
                <w:b/>
                <w:color w:val="010000"/>
              </w:rPr>
              <w:t>Üyeler</w:t>
            </w:r>
          </w:p>
        </w:tc>
        <w:tc>
          <w:tcPr>
            <w:tcW w:w="200" w:type="dxa"/>
          </w:tcPr>
          <w:p w:rsidR="00ED2373" w:rsidRPr="00ED2373" w:rsidRDefault="00ED2373" w:rsidP="00ED2373">
            <w:pPr>
              <w:widowControl/>
              <w:suppressAutoHyphens w:val="0"/>
              <w:rPr>
                <w:b/>
                <w:color w:val="010000"/>
              </w:rPr>
            </w:pPr>
            <w:r w:rsidRPr="00ED2373">
              <w:rPr>
                <w:b/>
                <w:color w:val="010000"/>
              </w:rPr>
              <w:t>:</w:t>
            </w:r>
          </w:p>
        </w:tc>
        <w:tc>
          <w:tcPr>
            <w:tcW w:w="5400" w:type="dxa"/>
          </w:tcPr>
          <w:p w:rsidR="00ED2373" w:rsidRPr="00ED2373" w:rsidRDefault="00ED2373" w:rsidP="00ED2373">
            <w:pPr>
              <w:widowControl/>
              <w:suppressAutoHyphens w:val="0"/>
              <w:rPr>
                <w:color w:val="010000"/>
              </w:rPr>
            </w:pPr>
            <w:r w:rsidRPr="00ED2373">
              <w:rPr>
                <w:color w:val="010000"/>
              </w:rPr>
              <w:t>Engin YILDIRIM</w:t>
            </w:r>
          </w:p>
        </w:tc>
      </w:tr>
      <w:tr w:rsidR="00ED2373" w:rsidRPr="00ED2373" w:rsidTr="00ED2373">
        <w:tblPrEx>
          <w:tblCellMar>
            <w:top w:w="0" w:type="dxa"/>
            <w:bottom w:w="0" w:type="dxa"/>
          </w:tblCellMar>
        </w:tblPrEx>
        <w:trPr>
          <w:trHeight w:val="454"/>
        </w:trPr>
        <w:tc>
          <w:tcPr>
            <w:tcW w:w="2400" w:type="dxa"/>
          </w:tcPr>
          <w:p w:rsidR="00ED2373" w:rsidRPr="00ED2373" w:rsidRDefault="00ED2373" w:rsidP="00ED2373">
            <w:pPr>
              <w:widowControl/>
              <w:suppressAutoHyphens w:val="0"/>
              <w:rPr>
                <w:b/>
                <w:color w:val="010000"/>
              </w:rPr>
            </w:pPr>
          </w:p>
        </w:tc>
        <w:tc>
          <w:tcPr>
            <w:tcW w:w="200" w:type="dxa"/>
          </w:tcPr>
          <w:p w:rsidR="00ED2373" w:rsidRPr="00ED2373" w:rsidRDefault="00ED2373" w:rsidP="00ED2373">
            <w:pPr>
              <w:widowControl/>
              <w:suppressAutoHyphens w:val="0"/>
              <w:rPr>
                <w:b/>
                <w:color w:val="010000"/>
              </w:rPr>
            </w:pPr>
          </w:p>
        </w:tc>
        <w:tc>
          <w:tcPr>
            <w:tcW w:w="5400" w:type="dxa"/>
          </w:tcPr>
          <w:p w:rsidR="00ED2373" w:rsidRPr="00ED2373" w:rsidRDefault="00ED2373" w:rsidP="00ED2373">
            <w:pPr>
              <w:widowControl/>
              <w:suppressAutoHyphens w:val="0"/>
              <w:rPr>
                <w:color w:val="010000"/>
              </w:rPr>
            </w:pPr>
            <w:r w:rsidRPr="00ED2373">
              <w:rPr>
                <w:color w:val="010000"/>
              </w:rPr>
              <w:t>Celal Mümtaz AKINCI</w:t>
            </w:r>
          </w:p>
        </w:tc>
      </w:tr>
      <w:tr w:rsidR="00ED2373" w:rsidRPr="00ED2373" w:rsidTr="00ED2373">
        <w:tblPrEx>
          <w:tblCellMar>
            <w:top w:w="0" w:type="dxa"/>
            <w:bottom w:w="0" w:type="dxa"/>
          </w:tblCellMar>
        </w:tblPrEx>
        <w:trPr>
          <w:trHeight w:val="454"/>
        </w:trPr>
        <w:tc>
          <w:tcPr>
            <w:tcW w:w="2400" w:type="dxa"/>
          </w:tcPr>
          <w:p w:rsidR="00ED2373" w:rsidRPr="00ED2373" w:rsidRDefault="00ED2373" w:rsidP="00ED2373">
            <w:pPr>
              <w:widowControl/>
              <w:suppressAutoHyphens w:val="0"/>
              <w:rPr>
                <w:b/>
                <w:color w:val="010000"/>
              </w:rPr>
            </w:pPr>
          </w:p>
        </w:tc>
        <w:tc>
          <w:tcPr>
            <w:tcW w:w="200" w:type="dxa"/>
          </w:tcPr>
          <w:p w:rsidR="00ED2373" w:rsidRPr="00ED2373" w:rsidRDefault="00ED2373" w:rsidP="00ED2373">
            <w:pPr>
              <w:widowControl/>
              <w:suppressAutoHyphens w:val="0"/>
              <w:rPr>
                <w:b/>
                <w:color w:val="010000"/>
              </w:rPr>
            </w:pPr>
          </w:p>
        </w:tc>
        <w:tc>
          <w:tcPr>
            <w:tcW w:w="5400" w:type="dxa"/>
          </w:tcPr>
          <w:p w:rsidR="00ED2373" w:rsidRPr="00ED2373" w:rsidRDefault="00ED2373" w:rsidP="00ED2373">
            <w:pPr>
              <w:widowControl/>
              <w:suppressAutoHyphens w:val="0"/>
              <w:rPr>
                <w:color w:val="010000"/>
              </w:rPr>
            </w:pPr>
            <w:r w:rsidRPr="00ED2373">
              <w:rPr>
                <w:color w:val="010000"/>
              </w:rPr>
              <w:t>M. Emin KUZ</w:t>
            </w:r>
          </w:p>
        </w:tc>
      </w:tr>
      <w:tr w:rsidR="00ED2373" w:rsidRPr="00ED2373" w:rsidTr="00ED2373">
        <w:tblPrEx>
          <w:tblCellMar>
            <w:top w:w="0" w:type="dxa"/>
            <w:bottom w:w="0" w:type="dxa"/>
          </w:tblCellMar>
        </w:tblPrEx>
        <w:trPr>
          <w:trHeight w:val="454"/>
        </w:trPr>
        <w:tc>
          <w:tcPr>
            <w:tcW w:w="2400" w:type="dxa"/>
          </w:tcPr>
          <w:p w:rsidR="00ED2373" w:rsidRPr="00ED2373" w:rsidRDefault="00ED2373" w:rsidP="00ED2373">
            <w:pPr>
              <w:widowControl/>
              <w:suppressAutoHyphens w:val="0"/>
              <w:rPr>
                <w:b/>
                <w:color w:val="010000"/>
              </w:rPr>
            </w:pPr>
          </w:p>
        </w:tc>
        <w:tc>
          <w:tcPr>
            <w:tcW w:w="200" w:type="dxa"/>
          </w:tcPr>
          <w:p w:rsidR="00ED2373" w:rsidRPr="00ED2373" w:rsidRDefault="00ED2373" w:rsidP="00ED2373">
            <w:pPr>
              <w:widowControl/>
              <w:suppressAutoHyphens w:val="0"/>
              <w:rPr>
                <w:b/>
                <w:color w:val="010000"/>
              </w:rPr>
            </w:pPr>
          </w:p>
        </w:tc>
        <w:tc>
          <w:tcPr>
            <w:tcW w:w="5400" w:type="dxa"/>
          </w:tcPr>
          <w:p w:rsidR="00ED2373" w:rsidRPr="00ED2373" w:rsidRDefault="00ED2373" w:rsidP="00ED2373">
            <w:pPr>
              <w:widowControl/>
              <w:suppressAutoHyphens w:val="0"/>
              <w:rPr>
                <w:color w:val="010000"/>
              </w:rPr>
            </w:pPr>
            <w:r w:rsidRPr="00ED2373">
              <w:rPr>
                <w:color w:val="010000"/>
              </w:rPr>
              <w:t>Basri BAĞCI</w:t>
            </w:r>
          </w:p>
        </w:tc>
      </w:tr>
      <w:tr w:rsidR="00ED2373" w:rsidRPr="00ED2373" w:rsidTr="00ED2373">
        <w:tblPrEx>
          <w:tblCellMar>
            <w:top w:w="0" w:type="dxa"/>
            <w:bottom w:w="0" w:type="dxa"/>
          </w:tblCellMar>
        </w:tblPrEx>
        <w:trPr>
          <w:trHeight w:val="454"/>
        </w:trPr>
        <w:tc>
          <w:tcPr>
            <w:tcW w:w="2400" w:type="dxa"/>
          </w:tcPr>
          <w:p w:rsidR="00ED2373" w:rsidRPr="00ED2373" w:rsidRDefault="00ED2373" w:rsidP="00ED2373">
            <w:pPr>
              <w:widowControl/>
              <w:suppressAutoHyphens w:val="0"/>
              <w:rPr>
                <w:b/>
                <w:color w:val="010000"/>
              </w:rPr>
            </w:pPr>
            <w:r w:rsidRPr="00ED2373">
              <w:rPr>
                <w:b/>
                <w:color w:val="010000"/>
              </w:rPr>
              <w:t>Raportör</w:t>
            </w:r>
          </w:p>
        </w:tc>
        <w:tc>
          <w:tcPr>
            <w:tcW w:w="200" w:type="dxa"/>
          </w:tcPr>
          <w:p w:rsidR="00ED2373" w:rsidRPr="00ED2373" w:rsidRDefault="00ED2373" w:rsidP="00ED2373">
            <w:pPr>
              <w:widowControl/>
              <w:suppressAutoHyphens w:val="0"/>
              <w:rPr>
                <w:b/>
                <w:color w:val="010000"/>
              </w:rPr>
            </w:pPr>
            <w:r w:rsidRPr="00ED2373">
              <w:rPr>
                <w:b/>
                <w:color w:val="010000"/>
              </w:rPr>
              <w:t>:</w:t>
            </w:r>
          </w:p>
        </w:tc>
        <w:tc>
          <w:tcPr>
            <w:tcW w:w="5400" w:type="dxa"/>
          </w:tcPr>
          <w:p w:rsidR="00ED2373" w:rsidRPr="00ED2373" w:rsidRDefault="00ED2373" w:rsidP="00ED2373">
            <w:pPr>
              <w:widowControl/>
              <w:suppressAutoHyphens w:val="0"/>
              <w:rPr>
                <w:color w:val="010000"/>
              </w:rPr>
            </w:pPr>
            <w:r w:rsidRPr="00ED2373">
              <w:rPr>
                <w:color w:val="010000"/>
              </w:rPr>
              <w:t>Eren Can BENAKAY</w:t>
            </w:r>
          </w:p>
        </w:tc>
      </w:tr>
      <w:tr w:rsidR="00ED2373" w:rsidRPr="00ED2373" w:rsidTr="00ED2373">
        <w:tblPrEx>
          <w:tblCellMar>
            <w:top w:w="0" w:type="dxa"/>
            <w:bottom w:w="0" w:type="dxa"/>
          </w:tblCellMar>
        </w:tblPrEx>
        <w:trPr>
          <w:trHeight w:val="454"/>
        </w:trPr>
        <w:tc>
          <w:tcPr>
            <w:tcW w:w="2400" w:type="dxa"/>
          </w:tcPr>
          <w:p w:rsidR="00ED2373" w:rsidRPr="00ED2373" w:rsidRDefault="00ED2373" w:rsidP="00ED2373">
            <w:pPr>
              <w:widowControl/>
              <w:suppressAutoHyphens w:val="0"/>
              <w:rPr>
                <w:b/>
                <w:color w:val="010000"/>
              </w:rPr>
            </w:pPr>
            <w:r w:rsidRPr="00ED2373">
              <w:rPr>
                <w:b/>
                <w:color w:val="010000"/>
              </w:rPr>
              <w:t>Başvurucular</w:t>
            </w:r>
          </w:p>
        </w:tc>
        <w:tc>
          <w:tcPr>
            <w:tcW w:w="200" w:type="dxa"/>
          </w:tcPr>
          <w:p w:rsidR="00ED2373" w:rsidRPr="00ED2373" w:rsidRDefault="00ED2373" w:rsidP="00ED2373">
            <w:pPr>
              <w:widowControl/>
              <w:suppressAutoHyphens w:val="0"/>
              <w:rPr>
                <w:b/>
                <w:color w:val="010000"/>
              </w:rPr>
            </w:pPr>
            <w:r w:rsidRPr="00ED2373">
              <w:rPr>
                <w:b/>
                <w:color w:val="010000"/>
              </w:rPr>
              <w:t>:</w:t>
            </w:r>
          </w:p>
        </w:tc>
        <w:tc>
          <w:tcPr>
            <w:tcW w:w="5400" w:type="dxa"/>
          </w:tcPr>
          <w:p w:rsidR="00ED2373" w:rsidRPr="00ED2373" w:rsidRDefault="00ED2373" w:rsidP="00ED2373">
            <w:pPr>
              <w:widowControl/>
              <w:suppressAutoHyphens w:val="0"/>
              <w:rPr>
                <w:color w:val="010000"/>
              </w:rPr>
            </w:pPr>
            <w:r w:rsidRPr="00ED2373">
              <w:rPr>
                <w:color w:val="010000"/>
              </w:rPr>
              <w:t>1. Ayşen IŞIKLI</w:t>
            </w:r>
          </w:p>
        </w:tc>
      </w:tr>
      <w:tr w:rsidR="00ED2373" w:rsidRPr="00ED2373" w:rsidTr="00ED2373">
        <w:tblPrEx>
          <w:tblCellMar>
            <w:top w:w="0" w:type="dxa"/>
            <w:bottom w:w="0" w:type="dxa"/>
          </w:tblCellMar>
        </w:tblPrEx>
        <w:trPr>
          <w:trHeight w:val="454"/>
        </w:trPr>
        <w:tc>
          <w:tcPr>
            <w:tcW w:w="2400" w:type="dxa"/>
          </w:tcPr>
          <w:p w:rsidR="00ED2373" w:rsidRPr="00ED2373" w:rsidRDefault="00ED2373" w:rsidP="00ED2373">
            <w:pPr>
              <w:widowControl/>
              <w:suppressAutoHyphens w:val="0"/>
              <w:rPr>
                <w:b/>
                <w:color w:val="010000"/>
              </w:rPr>
            </w:pPr>
          </w:p>
        </w:tc>
        <w:tc>
          <w:tcPr>
            <w:tcW w:w="200" w:type="dxa"/>
          </w:tcPr>
          <w:p w:rsidR="00ED2373" w:rsidRPr="00ED2373" w:rsidRDefault="00ED2373" w:rsidP="00ED2373">
            <w:pPr>
              <w:widowControl/>
              <w:suppressAutoHyphens w:val="0"/>
              <w:rPr>
                <w:b/>
                <w:color w:val="010000"/>
              </w:rPr>
            </w:pPr>
          </w:p>
        </w:tc>
        <w:tc>
          <w:tcPr>
            <w:tcW w:w="5400" w:type="dxa"/>
          </w:tcPr>
          <w:p w:rsidR="00ED2373" w:rsidRPr="00ED2373" w:rsidRDefault="00ED2373" w:rsidP="00ED2373">
            <w:pPr>
              <w:widowControl/>
              <w:suppressAutoHyphens w:val="0"/>
              <w:rPr>
                <w:color w:val="010000"/>
              </w:rPr>
            </w:pPr>
            <w:r w:rsidRPr="00ED2373">
              <w:rPr>
                <w:color w:val="010000"/>
              </w:rPr>
              <w:t>2. İbrahim IŞIKLI</w:t>
            </w:r>
          </w:p>
        </w:tc>
      </w:tr>
      <w:tr w:rsidR="00ED2373" w:rsidRPr="00ED2373" w:rsidTr="00ED2373">
        <w:tblPrEx>
          <w:tblCellMar>
            <w:top w:w="0" w:type="dxa"/>
            <w:bottom w:w="0" w:type="dxa"/>
          </w:tblCellMar>
        </w:tblPrEx>
        <w:trPr>
          <w:trHeight w:val="454"/>
        </w:trPr>
        <w:tc>
          <w:tcPr>
            <w:tcW w:w="2400" w:type="dxa"/>
          </w:tcPr>
          <w:p w:rsidR="00ED2373" w:rsidRPr="00ED2373" w:rsidRDefault="00ED2373" w:rsidP="00ED2373">
            <w:pPr>
              <w:widowControl/>
              <w:suppressAutoHyphens w:val="0"/>
              <w:rPr>
                <w:b/>
                <w:color w:val="010000"/>
              </w:rPr>
            </w:pPr>
          </w:p>
        </w:tc>
        <w:tc>
          <w:tcPr>
            <w:tcW w:w="200" w:type="dxa"/>
          </w:tcPr>
          <w:p w:rsidR="00ED2373" w:rsidRPr="00ED2373" w:rsidRDefault="00ED2373" w:rsidP="00ED2373">
            <w:pPr>
              <w:widowControl/>
              <w:suppressAutoHyphens w:val="0"/>
              <w:rPr>
                <w:b/>
                <w:color w:val="010000"/>
              </w:rPr>
            </w:pPr>
          </w:p>
        </w:tc>
        <w:tc>
          <w:tcPr>
            <w:tcW w:w="5400" w:type="dxa"/>
          </w:tcPr>
          <w:p w:rsidR="00ED2373" w:rsidRPr="00ED2373" w:rsidRDefault="00ED2373" w:rsidP="00ED2373">
            <w:pPr>
              <w:widowControl/>
              <w:suppressAutoHyphens w:val="0"/>
              <w:rPr>
                <w:color w:val="010000"/>
              </w:rPr>
            </w:pPr>
            <w:r w:rsidRPr="00ED2373">
              <w:rPr>
                <w:color w:val="010000"/>
              </w:rPr>
              <w:t>3. İlknur KİDER</w:t>
            </w:r>
          </w:p>
        </w:tc>
      </w:tr>
      <w:tr w:rsidR="00ED2373" w:rsidRPr="00ED2373" w:rsidTr="00ED2373">
        <w:tblPrEx>
          <w:tblCellMar>
            <w:top w:w="0" w:type="dxa"/>
            <w:bottom w:w="0" w:type="dxa"/>
          </w:tblCellMar>
        </w:tblPrEx>
        <w:trPr>
          <w:trHeight w:val="454"/>
        </w:trPr>
        <w:tc>
          <w:tcPr>
            <w:tcW w:w="2400" w:type="dxa"/>
          </w:tcPr>
          <w:p w:rsidR="00ED2373" w:rsidRPr="00ED2373" w:rsidRDefault="00ED2373" w:rsidP="00ED2373">
            <w:pPr>
              <w:widowControl/>
              <w:suppressAutoHyphens w:val="0"/>
              <w:rPr>
                <w:b/>
                <w:color w:val="010000"/>
              </w:rPr>
            </w:pPr>
          </w:p>
        </w:tc>
        <w:tc>
          <w:tcPr>
            <w:tcW w:w="200" w:type="dxa"/>
          </w:tcPr>
          <w:p w:rsidR="00ED2373" w:rsidRPr="00ED2373" w:rsidRDefault="00ED2373" w:rsidP="00ED2373">
            <w:pPr>
              <w:widowControl/>
              <w:suppressAutoHyphens w:val="0"/>
              <w:rPr>
                <w:b/>
                <w:color w:val="010000"/>
              </w:rPr>
            </w:pPr>
          </w:p>
        </w:tc>
        <w:tc>
          <w:tcPr>
            <w:tcW w:w="5400" w:type="dxa"/>
          </w:tcPr>
          <w:p w:rsidR="00ED2373" w:rsidRPr="00ED2373" w:rsidRDefault="00ED2373" w:rsidP="00ED2373">
            <w:pPr>
              <w:widowControl/>
              <w:suppressAutoHyphens w:val="0"/>
              <w:rPr>
                <w:color w:val="010000"/>
              </w:rPr>
            </w:pPr>
            <w:r w:rsidRPr="00ED2373">
              <w:rPr>
                <w:color w:val="010000"/>
              </w:rPr>
              <w:t>4. Ünal IŞIKLI</w:t>
            </w:r>
          </w:p>
        </w:tc>
      </w:tr>
      <w:tr w:rsidR="00ED2373" w:rsidRPr="00ED2373" w:rsidTr="00ED2373">
        <w:tblPrEx>
          <w:tblCellMar>
            <w:top w:w="0" w:type="dxa"/>
            <w:bottom w:w="0" w:type="dxa"/>
          </w:tblCellMar>
        </w:tblPrEx>
        <w:trPr>
          <w:trHeight w:val="454"/>
        </w:trPr>
        <w:tc>
          <w:tcPr>
            <w:tcW w:w="2400" w:type="dxa"/>
          </w:tcPr>
          <w:p w:rsidR="00ED2373" w:rsidRPr="00ED2373" w:rsidRDefault="00ED2373" w:rsidP="00ED2373">
            <w:pPr>
              <w:widowControl/>
              <w:suppressAutoHyphens w:val="0"/>
              <w:rPr>
                <w:b/>
                <w:color w:val="010000"/>
              </w:rPr>
            </w:pPr>
            <w:r w:rsidRPr="00ED2373">
              <w:rPr>
                <w:b/>
                <w:color w:val="010000"/>
              </w:rPr>
              <w:t>Başvurucular Vekili</w:t>
            </w:r>
          </w:p>
        </w:tc>
        <w:tc>
          <w:tcPr>
            <w:tcW w:w="200" w:type="dxa"/>
          </w:tcPr>
          <w:p w:rsidR="00ED2373" w:rsidRPr="00ED2373" w:rsidRDefault="00ED2373" w:rsidP="00ED2373">
            <w:pPr>
              <w:widowControl/>
              <w:suppressAutoHyphens w:val="0"/>
              <w:rPr>
                <w:b/>
                <w:color w:val="010000"/>
              </w:rPr>
            </w:pPr>
            <w:r w:rsidRPr="00ED2373">
              <w:rPr>
                <w:b/>
                <w:color w:val="010000"/>
              </w:rPr>
              <w:t>:</w:t>
            </w:r>
          </w:p>
        </w:tc>
        <w:tc>
          <w:tcPr>
            <w:tcW w:w="5400" w:type="dxa"/>
          </w:tcPr>
          <w:p w:rsidR="00ED2373" w:rsidRPr="00ED2373" w:rsidRDefault="00ED2373" w:rsidP="00ED2373">
            <w:pPr>
              <w:widowControl/>
              <w:suppressAutoHyphens w:val="0"/>
              <w:rPr>
                <w:color w:val="010000"/>
              </w:rPr>
            </w:pPr>
            <w:r w:rsidRPr="00ED2373">
              <w:rPr>
                <w:color w:val="010000"/>
              </w:rPr>
              <w:t>Av. Serkan CENGİZ</w:t>
            </w:r>
          </w:p>
        </w:tc>
      </w:tr>
    </w:tbl>
    <w:p w:rsidR="00ED2373" w:rsidRDefault="00ED2373" w:rsidP="00ED2373">
      <w:pPr>
        <w:widowControl/>
        <w:suppressAutoHyphens w:val="0"/>
        <w:spacing w:after="200"/>
        <w:ind w:left="283" w:right="283" w:firstLine="567"/>
        <w:jc w:val="both"/>
        <w:rPr>
          <w:b/>
          <w:color w:val="010000"/>
        </w:rPr>
      </w:pPr>
    </w:p>
    <w:p w:rsidR="00C5583C" w:rsidRPr="00ED2373" w:rsidRDefault="00C5583C" w:rsidP="00ED2373">
      <w:pPr>
        <w:widowControl/>
        <w:suppressAutoHyphens w:val="0"/>
        <w:spacing w:after="200"/>
        <w:ind w:left="283" w:right="283" w:firstLine="567"/>
        <w:jc w:val="both"/>
        <w:rPr>
          <w:color w:val="010000"/>
        </w:rPr>
      </w:pPr>
      <w:r w:rsidRPr="00ED2373">
        <w:rPr>
          <w:b/>
          <w:color w:val="010000"/>
        </w:rPr>
        <w:t>I.</w:t>
      </w:r>
      <w:r w:rsidR="00ED2373" w:rsidRPr="00ED2373">
        <w:rPr>
          <w:color w:val="010000"/>
        </w:rPr>
        <w:t xml:space="preserve"> </w:t>
      </w:r>
      <w:r w:rsidRPr="00ED2373">
        <w:rPr>
          <w:b/>
          <w:color w:val="010000"/>
        </w:rPr>
        <w:t>BAŞVURUNUN KONUSU</w:t>
      </w:r>
    </w:p>
    <w:p w:rsidR="00C5583C" w:rsidRPr="00ED2373" w:rsidRDefault="00C5583C" w:rsidP="00ED2373">
      <w:pPr>
        <w:widowControl/>
        <w:suppressAutoHyphens w:val="0"/>
        <w:spacing w:after="200"/>
        <w:ind w:left="283" w:right="283" w:firstLine="567"/>
        <w:jc w:val="both"/>
        <w:rPr>
          <w:color w:val="010000"/>
        </w:rPr>
      </w:pPr>
      <w:r w:rsidRPr="00ED2373">
        <w:rPr>
          <w:color w:val="010000"/>
        </w:rPr>
        <w:t>1.</w:t>
      </w:r>
      <w:r w:rsidR="00ED2373" w:rsidRPr="00ED2373">
        <w:rPr>
          <w:color w:val="010000"/>
        </w:rPr>
        <w:t xml:space="preserve"> </w:t>
      </w:r>
      <w:r w:rsidRPr="00ED2373">
        <w:rPr>
          <w:color w:val="010000"/>
        </w:rPr>
        <w:t>Başvuru; taşınmaz mülkiyetinin Hazine adına tesciline bağlı olarak ödenen tazminatın yetersiz olması nedeniyle mülkiyet hakkının, yargılamanın uzun sürmesi nedeniyle de makul sürede yargılanma hakkının ihlal edildiği iddialarına ilişkindir.</w:t>
      </w:r>
    </w:p>
    <w:p w:rsidR="00C5583C" w:rsidRPr="00ED2373" w:rsidRDefault="00C5583C" w:rsidP="00ED2373">
      <w:pPr>
        <w:widowControl/>
        <w:suppressAutoHyphens w:val="0"/>
        <w:spacing w:after="200"/>
        <w:ind w:left="283" w:right="283" w:firstLine="567"/>
        <w:jc w:val="both"/>
        <w:rPr>
          <w:color w:val="010000"/>
        </w:rPr>
      </w:pPr>
      <w:r w:rsidRPr="00ED2373">
        <w:rPr>
          <w:b/>
          <w:color w:val="010000"/>
        </w:rPr>
        <w:t>II.</w:t>
      </w:r>
      <w:r w:rsidR="00ED2373" w:rsidRPr="00ED2373">
        <w:rPr>
          <w:color w:val="010000"/>
        </w:rPr>
        <w:t xml:space="preserve"> </w:t>
      </w:r>
      <w:r w:rsidRPr="00ED2373">
        <w:rPr>
          <w:b/>
          <w:color w:val="010000"/>
        </w:rPr>
        <w:t>BAŞVURU SÜRECİ</w:t>
      </w:r>
    </w:p>
    <w:p w:rsidR="00C5583C" w:rsidRPr="00ED2373" w:rsidRDefault="00C5583C" w:rsidP="00ED2373">
      <w:pPr>
        <w:widowControl/>
        <w:suppressAutoHyphens w:val="0"/>
        <w:spacing w:after="200"/>
        <w:ind w:left="283" w:right="283" w:firstLine="567"/>
        <w:jc w:val="both"/>
        <w:rPr>
          <w:color w:val="010000"/>
        </w:rPr>
      </w:pPr>
      <w:r w:rsidRPr="00ED2373">
        <w:rPr>
          <w:color w:val="010000"/>
        </w:rPr>
        <w:t>2.</w:t>
      </w:r>
      <w:r w:rsidR="00ED2373" w:rsidRPr="00ED2373">
        <w:rPr>
          <w:color w:val="010000"/>
        </w:rPr>
        <w:t xml:space="preserve"> </w:t>
      </w:r>
      <w:r w:rsidRPr="00ED2373">
        <w:rPr>
          <w:color w:val="010000"/>
        </w:rPr>
        <w:t>Başvuru 26/11/2018 tarihinde yapılmıştır.</w:t>
      </w:r>
    </w:p>
    <w:p w:rsidR="00C5583C" w:rsidRPr="00ED2373" w:rsidRDefault="00C5583C" w:rsidP="00ED2373">
      <w:pPr>
        <w:widowControl/>
        <w:suppressAutoHyphens w:val="0"/>
        <w:spacing w:after="200"/>
        <w:ind w:left="283" w:right="283" w:firstLine="567"/>
        <w:jc w:val="both"/>
        <w:rPr>
          <w:color w:val="010000"/>
        </w:rPr>
      </w:pPr>
      <w:r w:rsidRPr="00ED2373">
        <w:rPr>
          <w:color w:val="010000"/>
        </w:rPr>
        <w:t>3.</w:t>
      </w:r>
      <w:r w:rsidR="00ED2373" w:rsidRPr="00ED2373">
        <w:rPr>
          <w:color w:val="010000"/>
        </w:rPr>
        <w:t xml:space="preserve"> </w:t>
      </w:r>
      <w:r w:rsidRPr="00ED2373">
        <w:rPr>
          <w:color w:val="010000"/>
        </w:rPr>
        <w:t>Başvuru, başvuru formu ve eklerinin idari yönden yapılan ön incelemesinden sonra Komisyona sunulmuştur.</w:t>
      </w:r>
    </w:p>
    <w:p w:rsidR="00C5583C" w:rsidRPr="00ED2373" w:rsidRDefault="00C5583C" w:rsidP="00ED2373">
      <w:pPr>
        <w:widowControl/>
        <w:suppressAutoHyphens w:val="0"/>
        <w:spacing w:after="200"/>
        <w:ind w:left="283" w:right="283" w:firstLine="567"/>
        <w:jc w:val="both"/>
        <w:rPr>
          <w:color w:val="010000"/>
        </w:rPr>
      </w:pPr>
      <w:r w:rsidRPr="00ED2373">
        <w:rPr>
          <w:color w:val="010000"/>
        </w:rPr>
        <w:t>4.</w:t>
      </w:r>
      <w:r w:rsidR="00ED2373" w:rsidRPr="00ED2373">
        <w:rPr>
          <w:color w:val="010000"/>
        </w:rPr>
        <w:t xml:space="preserve"> </w:t>
      </w:r>
      <w:r w:rsidRPr="00ED2373">
        <w:rPr>
          <w:color w:val="010000"/>
        </w:rPr>
        <w:t xml:space="preserve">Komisyonca başvurunun kabul edilebilirlik incelemesinin Bölüm tarafından yapılmasına karar verilmiştir. </w:t>
      </w:r>
    </w:p>
    <w:p w:rsidR="00C5583C" w:rsidRPr="00ED2373" w:rsidRDefault="00C5583C" w:rsidP="00ED2373">
      <w:pPr>
        <w:widowControl/>
        <w:suppressAutoHyphens w:val="0"/>
        <w:spacing w:after="200"/>
        <w:ind w:left="283" w:right="283" w:firstLine="567"/>
        <w:jc w:val="both"/>
        <w:rPr>
          <w:color w:val="010000"/>
        </w:rPr>
      </w:pPr>
      <w:r w:rsidRPr="00ED2373">
        <w:rPr>
          <w:b/>
          <w:color w:val="010000"/>
        </w:rPr>
        <w:t>III.</w:t>
      </w:r>
      <w:r w:rsidR="00ED2373" w:rsidRPr="00ED2373">
        <w:rPr>
          <w:color w:val="010000"/>
        </w:rPr>
        <w:t xml:space="preserve"> </w:t>
      </w:r>
      <w:r w:rsidRPr="00ED2373">
        <w:rPr>
          <w:b/>
          <w:color w:val="010000"/>
        </w:rPr>
        <w:t xml:space="preserve">OLAY VE OLGULAR </w:t>
      </w:r>
    </w:p>
    <w:p w:rsidR="00C5583C" w:rsidRPr="00ED2373" w:rsidRDefault="00C5583C" w:rsidP="00ED2373">
      <w:pPr>
        <w:widowControl/>
        <w:suppressAutoHyphens w:val="0"/>
        <w:spacing w:after="200"/>
        <w:ind w:left="283" w:right="283" w:firstLine="567"/>
        <w:jc w:val="both"/>
        <w:rPr>
          <w:color w:val="010000"/>
        </w:rPr>
      </w:pPr>
      <w:r w:rsidRPr="00ED2373">
        <w:rPr>
          <w:color w:val="010000"/>
        </w:rPr>
        <w:t>5.</w:t>
      </w:r>
      <w:r w:rsidR="00ED2373" w:rsidRPr="00ED2373">
        <w:rPr>
          <w:color w:val="010000"/>
        </w:rPr>
        <w:t xml:space="preserve"> </w:t>
      </w:r>
      <w:r w:rsidRPr="00ED2373">
        <w:rPr>
          <w:color w:val="010000"/>
        </w:rPr>
        <w:t>Başvuru formu ve eklerinde ifade edildiği şekliyle ilgili olaylar özetle şöyledir:</w:t>
      </w:r>
    </w:p>
    <w:p w:rsidR="00C5583C" w:rsidRPr="00ED2373" w:rsidRDefault="00C5583C" w:rsidP="00ED2373">
      <w:pPr>
        <w:widowControl/>
        <w:suppressAutoHyphens w:val="0"/>
        <w:spacing w:after="200"/>
        <w:ind w:left="283" w:right="283" w:firstLine="567"/>
        <w:jc w:val="both"/>
        <w:rPr>
          <w:color w:val="010000"/>
        </w:rPr>
      </w:pPr>
      <w:r w:rsidRPr="00ED2373">
        <w:rPr>
          <w:color w:val="010000"/>
        </w:rPr>
        <w:t>6.</w:t>
      </w:r>
      <w:r w:rsidR="00ED2373" w:rsidRPr="00ED2373">
        <w:rPr>
          <w:color w:val="010000"/>
        </w:rPr>
        <w:t xml:space="preserve"> </w:t>
      </w:r>
      <w:r w:rsidRPr="00ED2373">
        <w:rPr>
          <w:color w:val="010000"/>
        </w:rPr>
        <w:t>Başvurucu Ünal Işıklı ve diğer başvurucuların murisi H.I. İzmir'in Buca ilçesi Belenbaşı köyü, 3 pafta, 62 parsel numaralı taşınmazı 3/6/1996 tarihinde H.Ç.den satın almışlar ve tapu, adlarına tescil edilmiştir.</w:t>
      </w:r>
    </w:p>
    <w:p w:rsidR="00C5583C" w:rsidRPr="00ED2373" w:rsidRDefault="00C5583C" w:rsidP="00ED2373">
      <w:pPr>
        <w:widowControl/>
        <w:suppressAutoHyphens w:val="0"/>
        <w:spacing w:after="200"/>
        <w:ind w:left="283" w:right="283" w:firstLine="567"/>
        <w:jc w:val="both"/>
        <w:rPr>
          <w:color w:val="010000"/>
        </w:rPr>
      </w:pPr>
      <w:r w:rsidRPr="00ED2373">
        <w:rPr>
          <w:color w:val="010000"/>
        </w:rPr>
        <w:t>7.</w:t>
      </w:r>
      <w:r w:rsidR="00ED2373" w:rsidRPr="00ED2373">
        <w:rPr>
          <w:color w:val="010000"/>
        </w:rPr>
        <w:t xml:space="preserve"> </w:t>
      </w:r>
      <w:r w:rsidRPr="00ED2373">
        <w:rPr>
          <w:color w:val="010000"/>
        </w:rPr>
        <w:t xml:space="preserve">Orman Genel Müdürlüğü, belirtilen taşınmazın orman vasfında olduğu ve özel mülkiyete konu olamayacağını belirterek 19/11/2000 tarihinde tapu iptali ve tescili davası açmıştır. </w:t>
      </w:r>
    </w:p>
    <w:p w:rsidR="00C5583C" w:rsidRPr="00ED2373" w:rsidRDefault="00C5583C" w:rsidP="00ED2373">
      <w:pPr>
        <w:widowControl/>
        <w:suppressAutoHyphens w:val="0"/>
        <w:spacing w:after="200"/>
        <w:ind w:left="283" w:right="283" w:firstLine="567"/>
        <w:jc w:val="both"/>
        <w:rPr>
          <w:color w:val="010000"/>
        </w:rPr>
      </w:pPr>
      <w:r w:rsidRPr="00ED2373">
        <w:rPr>
          <w:color w:val="010000"/>
        </w:rPr>
        <w:lastRenderedPageBreak/>
        <w:t>8.</w:t>
      </w:r>
      <w:r w:rsidR="00ED2373" w:rsidRPr="00ED2373">
        <w:rPr>
          <w:color w:val="010000"/>
        </w:rPr>
        <w:t xml:space="preserve"> </w:t>
      </w:r>
      <w:r w:rsidRPr="00ED2373">
        <w:rPr>
          <w:color w:val="010000"/>
        </w:rPr>
        <w:t>İzmir 4. Asliye Ceza Mahkemesi 29/12/2006 tarihinde tapunun iptaline ve taşınmazın orman olarak Hazine adına tesciline karar vermiştir. Karar temyiz edilmeyerek 13/3/2007 tarihinde kesinleşmiştir.</w:t>
      </w:r>
    </w:p>
    <w:p w:rsidR="00C5583C" w:rsidRPr="00ED2373" w:rsidRDefault="00C5583C" w:rsidP="00ED2373">
      <w:pPr>
        <w:widowControl/>
        <w:suppressAutoHyphens w:val="0"/>
        <w:spacing w:after="200"/>
        <w:ind w:left="283" w:right="283" w:firstLine="567"/>
        <w:jc w:val="both"/>
        <w:rPr>
          <w:color w:val="010000"/>
        </w:rPr>
      </w:pPr>
      <w:r w:rsidRPr="00ED2373">
        <w:rPr>
          <w:color w:val="010000"/>
        </w:rPr>
        <w:t>9.</w:t>
      </w:r>
      <w:r w:rsidR="00ED2373" w:rsidRPr="00ED2373">
        <w:rPr>
          <w:color w:val="010000"/>
        </w:rPr>
        <w:t xml:space="preserve"> </w:t>
      </w:r>
      <w:r w:rsidRPr="00ED2373">
        <w:rPr>
          <w:color w:val="010000"/>
        </w:rPr>
        <w:t>Başvurucu İbrahim Işıklı hariç olmak üzere diğer başvurucular 2/11/2007 tarihinde tapu sicilinin doğru tutulmamasından kaynaklı olarak Hazineye tazminat davası açmıştır.</w:t>
      </w:r>
    </w:p>
    <w:p w:rsidR="00C5583C" w:rsidRPr="00ED2373" w:rsidRDefault="00C5583C" w:rsidP="00ED2373">
      <w:pPr>
        <w:widowControl/>
        <w:suppressAutoHyphens w:val="0"/>
        <w:spacing w:after="200"/>
        <w:ind w:left="283" w:right="283" w:firstLine="567"/>
        <w:jc w:val="both"/>
        <w:rPr>
          <w:color w:val="010000"/>
        </w:rPr>
      </w:pPr>
      <w:r w:rsidRPr="00ED2373">
        <w:rPr>
          <w:color w:val="010000"/>
        </w:rPr>
        <w:t>10.</w:t>
      </w:r>
      <w:r w:rsidR="00ED2373" w:rsidRPr="00ED2373">
        <w:rPr>
          <w:color w:val="010000"/>
        </w:rPr>
        <w:t xml:space="preserve"> </w:t>
      </w:r>
      <w:r w:rsidRPr="00ED2373">
        <w:rPr>
          <w:color w:val="010000"/>
        </w:rPr>
        <w:t>İzmir 10. Asliye Hukuk Mahkemesi 30/3/2009 tarihinde yargı yolu bakımından görevsizlik kararı vermiştir. Kararda, davaya bakmakla görevli yargı kolunun idari yargı olduğu belirtilmiştir. Anılan karar temyiz edilmeyerek 12/5/2009 tarihinde kesinleşmiştir.</w:t>
      </w:r>
    </w:p>
    <w:p w:rsidR="00C5583C" w:rsidRPr="00ED2373" w:rsidRDefault="00C5583C" w:rsidP="00ED2373">
      <w:pPr>
        <w:widowControl/>
        <w:suppressAutoHyphens w:val="0"/>
        <w:spacing w:after="200"/>
        <w:ind w:left="283" w:right="283" w:firstLine="567"/>
        <w:jc w:val="both"/>
        <w:rPr>
          <w:color w:val="010000"/>
        </w:rPr>
      </w:pPr>
      <w:r w:rsidRPr="00ED2373">
        <w:rPr>
          <w:color w:val="010000"/>
        </w:rPr>
        <w:t>11.</w:t>
      </w:r>
      <w:r w:rsidR="00ED2373" w:rsidRPr="00ED2373">
        <w:rPr>
          <w:color w:val="010000"/>
        </w:rPr>
        <w:t xml:space="preserve"> </w:t>
      </w:r>
      <w:r w:rsidRPr="00ED2373">
        <w:rPr>
          <w:color w:val="010000"/>
        </w:rPr>
        <w:t>Bunun üzerine başvurucuların tamamı aynı davayı 5/6/2009 tarihinde İzmir 4. İdare Mahkemesinde (Mahkeme) açmıştır.</w:t>
      </w:r>
    </w:p>
    <w:p w:rsidR="00C5583C" w:rsidRPr="00ED2373" w:rsidRDefault="00C5583C" w:rsidP="00ED2373">
      <w:pPr>
        <w:widowControl/>
        <w:suppressAutoHyphens w:val="0"/>
        <w:spacing w:after="200"/>
        <w:ind w:left="283" w:right="283" w:firstLine="567"/>
        <w:jc w:val="both"/>
        <w:rPr>
          <w:color w:val="010000"/>
        </w:rPr>
      </w:pPr>
      <w:r w:rsidRPr="00ED2373">
        <w:rPr>
          <w:color w:val="010000"/>
        </w:rPr>
        <w:t>12.</w:t>
      </w:r>
      <w:r w:rsidR="00ED2373" w:rsidRPr="00ED2373">
        <w:rPr>
          <w:color w:val="010000"/>
        </w:rPr>
        <w:t xml:space="preserve"> </w:t>
      </w:r>
      <w:r w:rsidRPr="00ED2373">
        <w:rPr>
          <w:color w:val="010000"/>
        </w:rPr>
        <w:t>Mahkeme 25/11/2009 tarihinde davayı süre aşımı yönünden reddetmiştir. Kararda, Hazine adına tescilin yapıldığı 13/3/2007 tarihinden itibaren 60 gün içinde doğrudan tam yargı davası açılması gerektiği ya da uğranıldığı iddia edilen zararın tazmini amacıyla idareye başvuru yapılarak verilen cevaba göre kalan dava açma süresi içinde dava açılması gerektiği belirtilmiştir. Belirtilen süreler geçtikten çok sonra 5/6/2009 tarihinde açılan davanın süresinde olmadığı sonucuna varılmıştır.</w:t>
      </w:r>
    </w:p>
    <w:p w:rsidR="00C5583C" w:rsidRPr="00ED2373" w:rsidRDefault="00C5583C" w:rsidP="00ED2373">
      <w:pPr>
        <w:widowControl/>
        <w:suppressAutoHyphens w:val="0"/>
        <w:spacing w:after="200"/>
        <w:ind w:left="283" w:right="283" w:firstLine="567"/>
        <w:jc w:val="both"/>
        <w:rPr>
          <w:color w:val="010000"/>
        </w:rPr>
      </w:pPr>
      <w:r w:rsidRPr="00ED2373">
        <w:rPr>
          <w:color w:val="010000"/>
        </w:rPr>
        <w:t>13.</w:t>
      </w:r>
      <w:r w:rsidR="00ED2373" w:rsidRPr="00ED2373">
        <w:rPr>
          <w:color w:val="010000"/>
        </w:rPr>
        <w:t xml:space="preserve"> </w:t>
      </w:r>
      <w:r w:rsidRPr="00ED2373">
        <w:rPr>
          <w:color w:val="010000"/>
        </w:rPr>
        <w:t>Başvurucular kararı 23/2/2010 tarihinde temyiz etmiştir.</w:t>
      </w:r>
    </w:p>
    <w:p w:rsidR="00C5583C" w:rsidRPr="00ED2373" w:rsidRDefault="00C5583C" w:rsidP="00ED2373">
      <w:pPr>
        <w:widowControl/>
        <w:suppressAutoHyphens w:val="0"/>
        <w:spacing w:after="200"/>
        <w:ind w:left="283" w:right="283" w:firstLine="567"/>
        <w:jc w:val="both"/>
        <w:rPr>
          <w:color w:val="010000"/>
        </w:rPr>
      </w:pPr>
      <w:r w:rsidRPr="00ED2373">
        <w:rPr>
          <w:color w:val="010000"/>
        </w:rPr>
        <w:t>14.</w:t>
      </w:r>
      <w:r w:rsidR="00ED2373" w:rsidRPr="00ED2373">
        <w:rPr>
          <w:color w:val="010000"/>
        </w:rPr>
        <w:t xml:space="preserve"> </w:t>
      </w:r>
      <w:r w:rsidRPr="00ED2373">
        <w:rPr>
          <w:color w:val="010000"/>
        </w:rPr>
        <w:t>Danıştay Sekizinci Dairesi 8/6/2010 tarihinde temyiz talebini reddederek mahkeme kararını onamıştır.</w:t>
      </w:r>
    </w:p>
    <w:p w:rsidR="00C5583C" w:rsidRPr="00ED2373" w:rsidRDefault="00C5583C" w:rsidP="00ED2373">
      <w:pPr>
        <w:widowControl/>
        <w:suppressAutoHyphens w:val="0"/>
        <w:spacing w:after="200"/>
        <w:ind w:left="283" w:right="283" w:firstLine="567"/>
        <w:jc w:val="both"/>
        <w:rPr>
          <w:color w:val="010000"/>
        </w:rPr>
      </w:pPr>
      <w:r w:rsidRPr="00ED2373">
        <w:rPr>
          <w:color w:val="010000"/>
        </w:rPr>
        <w:t>15.</w:t>
      </w:r>
      <w:r w:rsidR="00ED2373" w:rsidRPr="00ED2373">
        <w:rPr>
          <w:color w:val="010000"/>
        </w:rPr>
        <w:t xml:space="preserve"> </w:t>
      </w:r>
      <w:r w:rsidRPr="00ED2373">
        <w:rPr>
          <w:color w:val="010000"/>
        </w:rPr>
        <w:t>Başvurucuların 2/9/2010 tarihli karar düzeltme talebi aynı Dairenin 28/2/2011 tarihli kararıyla reddedilmiştir.</w:t>
      </w:r>
    </w:p>
    <w:p w:rsidR="00C5583C" w:rsidRPr="00ED2373" w:rsidRDefault="00C5583C" w:rsidP="00ED2373">
      <w:pPr>
        <w:widowControl/>
        <w:suppressAutoHyphens w:val="0"/>
        <w:spacing w:after="200"/>
        <w:ind w:left="283" w:right="283" w:firstLine="567"/>
        <w:jc w:val="both"/>
        <w:rPr>
          <w:color w:val="010000"/>
        </w:rPr>
      </w:pPr>
      <w:r w:rsidRPr="00ED2373">
        <w:rPr>
          <w:color w:val="010000"/>
        </w:rPr>
        <w:t>16.</w:t>
      </w:r>
      <w:r w:rsidR="00ED2373" w:rsidRPr="00ED2373">
        <w:rPr>
          <w:color w:val="010000"/>
        </w:rPr>
        <w:t xml:space="preserve"> </w:t>
      </w:r>
      <w:r w:rsidRPr="00ED2373">
        <w:rPr>
          <w:color w:val="010000"/>
        </w:rPr>
        <w:t xml:space="preserve">Başvurucular 17/6/2011 tarihinde Avrupa İnsan Hakları Mahkemesine (AİHM) başvurmuştur. Başvurularında, yargılamanın uzun sürmesi nedeniyle makul sürede yargılanma haklarının ve tapu kayıtlarının herhangi bir tazminat ödenmeksizin iptal edilmesi nedeniyle mülkiyet haklarının ihlal edildiğini ileri sürmüştür. </w:t>
      </w:r>
    </w:p>
    <w:p w:rsidR="00C5583C" w:rsidRPr="00ED2373" w:rsidRDefault="00C5583C" w:rsidP="00ED2373">
      <w:pPr>
        <w:widowControl/>
        <w:suppressAutoHyphens w:val="0"/>
        <w:spacing w:after="200"/>
        <w:ind w:left="283" w:right="283" w:firstLine="567"/>
        <w:jc w:val="both"/>
        <w:rPr>
          <w:color w:val="010000"/>
        </w:rPr>
      </w:pPr>
      <w:r w:rsidRPr="00ED2373">
        <w:rPr>
          <w:color w:val="010000"/>
        </w:rPr>
        <w:t>17.</w:t>
      </w:r>
      <w:r w:rsidR="00ED2373" w:rsidRPr="00ED2373">
        <w:rPr>
          <w:color w:val="010000"/>
        </w:rPr>
        <w:t xml:space="preserve"> </w:t>
      </w:r>
      <w:r w:rsidRPr="00ED2373">
        <w:rPr>
          <w:color w:val="010000"/>
        </w:rPr>
        <w:t>AİHM 5/10/2017 tarihinde başvuruyu kabul edilemez bulmuştur. Kararda başvurucuların anılan şikâyetler kapsamında 9/1/2013 tarihli ve 6384 sayılı Avrupa İnsan Hakları Mahkemesine Yapılmış Bazı Başvuruların Tazminat Ödenmek Suretiyle Çözümüne Dair Kanun ile kurulmuş olan Adalet Bakanlığı İnsan Hakları Tazminat Komisyonuna (Komisyon) başvurmaları gerektiği belirtilmiştir.</w:t>
      </w:r>
    </w:p>
    <w:p w:rsidR="00C5583C" w:rsidRPr="00ED2373" w:rsidRDefault="00C5583C" w:rsidP="00ED2373">
      <w:pPr>
        <w:widowControl/>
        <w:suppressAutoHyphens w:val="0"/>
        <w:spacing w:after="200"/>
        <w:ind w:left="283" w:right="283" w:firstLine="567"/>
        <w:jc w:val="both"/>
        <w:rPr>
          <w:color w:val="010000"/>
        </w:rPr>
      </w:pPr>
      <w:r w:rsidRPr="00ED2373">
        <w:rPr>
          <w:color w:val="010000"/>
        </w:rPr>
        <w:t>18.</w:t>
      </w:r>
      <w:r w:rsidR="00ED2373" w:rsidRPr="00ED2373">
        <w:rPr>
          <w:color w:val="010000"/>
        </w:rPr>
        <w:t xml:space="preserve"> </w:t>
      </w:r>
      <w:r w:rsidRPr="00ED2373">
        <w:rPr>
          <w:color w:val="010000"/>
        </w:rPr>
        <w:t>Başvurucular bu karar üzerine 6/11/2017 tarihinde Komisyona başvurmuş, başvurularında taşınmazlarının 2017 yılı rayiç değerinin emlak bilirkişi ve uzmanlarınca tespitini talep etmiştir. Bunun mümkün olmaması durumunda Buca Belediyesi tarafından 2017 yılı için metrekare değeri rayiç bedel kabul edilerek kendilerine 630.355 TL ödenmesini talep etmiştir. Bu taleplerinin de kabul edilmemesi durumunda tapusu iptal edilen taşınmazlarının 13/3/2007 tarihindeki değeri olan 321.200 TL'nin 13/3/2007 tarihinden itibaren işleyecek olan yasal faizi ile birlikte ödenmesini istemiştir.</w:t>
      </w:r>
    </w:p>
    <w:p w:rsidR="00C5583C" w:rsidRPr="00ED2373" w:rsidRDefault="00C5583C" w:rsidP="00ED2373">
      <w:pPr>
        <w:widowControl/>
        <w:suppressAutoHyphens w:val="0"/>
        <w:spacing w:after="200"/>
        <w:ind w:left="283" w:right="283" w:firstLine="567"/>
        <w:jc w:val="both"/>
        <w:rPr>
          <w:color w:val="010000"/>
        </w:rPr>
      </w:pPr>
      <w:r w:rsidRPr="00ED2373">
        <w:rPr>
          <w:color w:val="010000"/>
        </w:rPr>
        <w:t>19.</w:t>
      </w:r>
      <w:r w:rsidR="00ED2373" w:rsidRPr="00ED2373">
        <w:rPr>
          <w:color w:val="010000"/>
        </w:rPr>
        <w:t xml:space="preserve"> </w:t>
      </w:r>
      <w:r w:rsidRPr="00ED2373">
        <w:rPr>
          <w:color w:val="010000"/>
        </w:rPr>
        <w:t xml:space="preserve">Komisyon, başvurucuların uzun süren yargılama nedeniyle makul sürede yargılanma haklarının ihlal edildiğine ilişkin iddialarını yargılamanın sona ermesinden itibaren altı ay içinde AİHM'e başvurulmadığından açıkça dayanaktan yoksun olması gerekçesiyle 20/7/2018 tarihinde reddetmiştir. Öte yandan mülkiyet hakkı yönünden ise başvurucuların iç hukuk yollarını tüketmesi nedeniyle taşınmazlarının Hazine adına tescil edilmesine bağlı olarak uğramış oldukları zararın tazmin edilebilmesi için yapabilecekleri bir şey kalmadığını belirterek zararlarının tazmini yoluna gitmiştir. Uğramış oldukları </w:t>
      </w:r>
      <w:r w:rsidRPr="00ED2373">
        <w:rPr>
          <w:color w:val="010000"/>
        </w:rPr>
        <w:lastRenderedPageBreak/>
        <w:t>zararı tespit ederken de yaptırmış olduğu bilirkişi incelemesi neticesinde 128.000 TL ödenmesine karar vermiştir. Söz konusu miktarı tespit ederken orman vasıflı taşınmazın 2018 yılı birim bedelinin metrekare başına 7 TL, ağaç bedelinin ise ağaç başına 15 TL, birim değerinin ise metre başına 3,6 TL olarak kabul etmiştir.</w:t>
      </w:r>
    </w:p>
    <w:p w:rsidR="00C5583C" w:rsidRPr="00ED2373" w:rsidRDefault="00C5583C" w:rsidP="00ED2373">
      <w:pPr>
        <w:widowControl/>
        <w:suppressAutoHyphens w:val="0"/>
        <w:spacing w:after="200"/>
        <w:ind w:left="283" w:right="283" w:firstLine="567"/>
        <w:jc w:val="both"/>
        <w:rPr>
          <w:color w:val="010000"/>
        </w:rPr>
      </w:pPr>
      <w:r w:rsidRPr="00ED2373">
        <w:rPr>
          <w:color w:val="010000"/>
        </w:rPr>
        <w:t>20.</w:t>
      </w:r>
      <w:r w:rsidR="00ED2373" w:rsidRPr="00ED2373">
        <w:rPr>
          <w:color w:val="010000"/>
        </w:rPr>
        <w:t xml:space="preserve"> </w:t>
      </w:r>
      <w:r w:rsidRPr="00ED2373">
        <w:rPr>
          <w:color w:val="010000"/>
        </w:rPr>
        <w:t xml:space="preserve">Komisyon kararı başvuruculara 28/7/2018 tarihinde tebliğ edilmiştir. Başvurucular karara 10/8/2018 tarihinde itiraz etmişlerdir. Dilekçelerinde 2018 yılında Buca Belediyesi tarafından ilan edilen emlak vergisi rayiç bedelinin dikkate alınmadığını, bununla birlikte rayiç emsal değeri araştırmasının yapılmadığını, belirlenen tazminat miktarının piyasa rayiç değerine aykırı olduğunu ve bilimsel veriye dayanmadığını ifade etmişlerdir. Tazminat miktarının tespitine dair gerekçenin açıklanmamasından yakınmış, öte yandan tazminat miktarına yasal faiz ile birlikte hükmedilmesi gerektiğini ileri sürmüşlerdir. </w:t>
      </w:r>
    </w:p>
    <w:p w:rsidR="00C5583C" w:rsidRPr="00ED2373" w:rsidRDefault="00C5583C" w:rsidP="00ED2373">
      <w:pPr>
        <w:widowControl/>
        <w:suppressAutoHyphens w:val="0"/>
        <w:spacing w:after="200"/>
        <w:ind w:left="283" w:right="283" w:firstLine="567"/>
        <w:jc w:val="both"/>
        <w:rPr>
          <w:color w:val="010000"/>
        </w:rPr>
      </w:pPr>
      <w:r w:rsidRPr="00ED2373">
        <w:rPr>
          <w:color w:val="010000"/>
        </w:rPr>
        <w:t>21.</w:t>
      </w:r>
      <w:r w:rsidR="00ED2373" w:rsidRPr="00ED2373">
        <w:rPr>
          <w:color w:val="010000"/>
        </w:rPr>
        <w:t xml:space="preserve"> </w:t>
      </w:r>
      <w:r w:rsidRPr="00ED2373">
        <w:rPr>
          <w:color w:val="010000"/>
        </w:rPr>
        <w:t>Ankara Bölge İdare Mahkemesi 11. İdari Dava Dairesi 4/10/2018 tarihinde itirazı reddetmiştir. Kararda, Komisyon tarafından yapılan bilirkişi incelemesi sonucunda ödenmesi gereken tutarın usule uygun olarak tespit edildiği belirtilerek mülkiyet hakkı yönünden adil dengenin gözetildiği ifade edilmiştir. Öte yandan kararda, yargılamanın 13/3/2007 tarihinde son bulduğu tarihten itibaren başvurucular altı ay içinde AİHM'e başvurmadıklarından makul sürede yargılanma hakkının ihlal edildiğine ilişkin iddianın açıkça dayanaktan yoksun olması nedeniyle reddedilmesinin usul ve yasa hükümlerine aykırı olmadığı belirtilmiştir.</w:t>
      </w:r>
    </w:p>
    <w:p w:rsidR="00C5583C" w:rsidRPr="00ED2373" w:rsidRDefault="00C5583C" w:rsidP="00ED2373">
      <w:pPr>
        <w:widowControl/>
        <w:suppressAutoHyphens w:val="0"/>
        <w:spacing w:after="200"/>
        <w:ind w:left="283" w:right="283" w:firstLine="567"/>
        <w:jc w:val="both"/>
        <w:rPr>
          <w:color w:val="010000"/>
        </w:rPr>
      </w:pPr>
      <w:r w:rsidRPr="00ED2373">
        <w:rPr>
          <w:color w:val="010000"/>
        </w:rPr>
        <w:t>22.</w:t>
      </w:r>
      <w:r w:rsidR="00ED2373" w:rsidRPr="00ED2373">
        <w:rPr>
          <w:color w:val="010000"/>
        </w:rPr>
        <w:t xml:space="preserve"> </w:t>
      </w:r>
      <w:r w:rsidRPr="00ED2373">
        <w:rPr>
          <w:color w:val="010000"/>
        </w:rPr>
        <w:t>Nihai karar başvuruculara 13/11/2018 tarihinde tebliğ edilmiştir. Başvurucular 26/11/2018 tarihinde bireysel başvuruda bulunmuştur.</w:t>
      </w:r>
    </w:p>
    <w:p w:rsidR="00C5583C" w:rsidRPr="00ED2373" w:rsidRDefault="00C5583C" w:rsidP="00ED2373">
      <w:pPr>
        <w:widowControl/>
        <w:suppressAutoHyphens w:val="0"/>
        <w:spacing w:after="200"/>
        <w:ind w:left="283" w:right="283" w:firstLine="567"/>
        <w:jc w:val="both"/>
        <w:rPr>
          <w:color w:val="010000"/>
        </w:rPr>
      </w:pPr>
      <w:r w:rsidRPr="00ED2373">
        <w:rPr>
          <w:b/>
          <w:color w:val="010000"/>
        </w:rPr>
        <w:t>IV.</w:t>
      </w:r>
      <w:r w:rsidR="00ED2373" w:rsidRPr="00ED2373">
        <w:rPr>
          <w:color w:val="010000"/>
        </w:rPr>
        <w:t xml:space="preserve"> </w:t>
      </w:r>
      <w:r w:rsidRPr="00ED2373">
        <w:rPr>
          <w:b/>
          <w:color w:val="010000"/>
        </w:rPr>
        <w:t>İNCELEME VE GEREKÇE</w:t>
      </w:r>
    </w:p>
    <w:p w:rsidR="00C5583C" w:rsidRPr="00ED2373" w:rsidRDefault="00C5583C" w:rsidP="00ED2373">
      <w:pPr>
        <w:widowControl/>
        <w:suppressAutoHyphens w:val="0"/>
        <w:spacing w:after="200"/>
        <w:ind w:left="283" w:right="283" w:firstLine="567"/>
        <w:jc w:val="both"/>
        <w:rPr>
          <w:color w:val="010000"/>
        </w:rPr>
      </w:pPr>
      <w:r w:rsidRPr="00ED2373">
        <w:rPr>
          <w:color w:val="010000"/>
        </w:rPr>
        <w:t>23.</w:t>
      </w:r>
      <w:r w:rsidR="00ED2373" w:rsidRPr="00ED2373">
        <w:rPr>
          <w:color w:val="010000"/>
        </w:rPr>
        <w:t xml:space="preserve"> </w:t>
      </w:r>
      <w:r w:rsidRPr="00ED2373">
        <w:rPr>
          <w:color w:val="010000"/>
        </w:rPr>
        <w:t>Mahkemenin 11/2/2021 tarihinde yapmış olduğu toplantıda başvuru incelenip gereği düşünüldü:</w:t>
      </w:r>
    </w:p>
    <w:p w:rsidR="00C5583C" w:rsidRPr="00ED2373" w:rsidRDefault="00C5583C" w:rsidP="00ED2373">
      <w:pPr>
        <w:widowControl/>
        <w:suppressAutoHyphens w:val="0"/>
        <w:spacing w:after="200"/>
        <w:ind w:left="283" w:right="283" w:firstLine="567"/>
        <w:jc w:val="both"/>
        <w:rPr>
          <w:color w:val="010000"/>
        </w:rPr>
      </w:pPr>
      <w:r w:rsidRPr="00ED2373">
        <w:rPr>
          <w:b/>
          <w:color w:val="010000"/>
        </w:rPr>
        <w:t>A.</w:t>
      </w:r>
      <w:r w:rsidR="00ED2373" w:rsidRPr="00ED2373">
        <w:rPr>
          <w:color w:val="010000"/>
        </w:rPr>
        <w:t xml:space="preserve"> </w:t>
      </w:r>
      <w:r w:rsidRPr="00ED2373">
        <w:rPr>
          <w:b/>
          <w:color w:val="010000"/>
        </w:rPr>
        <w:t>Mülkiyet Hakkının İhlal Edildiğine İlişkin İddia</w:t>
      </w:r>
    </w:p>
    <w:p w:rsidR="00C5583C" w:rsidRPr="00ED2373" w:rsidRDefault="00C5583C" w:rsidP="00ED2373">
      <w:pPr>
        <w:widowControl/>
        <w:suppressAutoHyphens w:val="0"/>
        <w:spacing w:after="200"/>
        <w:ind w:left="283" w:right="283" w:firstLine="567"/>
        <w:jc w:val="both"/>
        <w:rPr>
          <w:color w:val="010000"/>
        </w:rPr>
      </w:pPr>
      <w:r w:rsidRPr="00ED2373">
        <w:rPr>
          <w:b/>
          <w:color w:val="010000"/>
        </w:rPr>
        <w:t>1.</w:t>
      </w:r>
      <w:r w:rsidR="00ED2373" w:rsidRPr="00ED2373">
        <w:rPr>
          <w:color w:val="010000"/>
        </w:rPr>
        <w:t xml:space="preserve"> </w:t>
      </w:r>
      <w:r w:rsidRPr="00ED2373">
        <w:rPr>
          <w:b/>
          <w:color w:val="010000"/>
        </w:rPr>
        <w:t>Başvurucuların İddiaları</w:t>
      </w:r>
    </w:p>
    <w:p w:rsidR="00C5583C" w:rsidRPr="00ED2373" w:rsidRDefault="00C5583C" w:rsidP="00ED2373">
      <w:pPr>
        <w:widowControl/>
        <w:suppressAutoHyphens w:val="0"/>
        <w:spacing w:after="200"/>
        <w:ind w:left="283" w:right="283" w:firstLine="567"/>
        <w:jc w:val="both"/>
        <w:rPr>
          <w:color w:val="010000"/>
        </w:rPr>
      </w:pPr>
      <w:r w:rsidRPr="00ED2373">
        <w:rPr>
          <w:color w:val="010000"/>
        </w:rPr>
        <w:t>24.</w:t>
      </w:r>
      <w:r w:rsidR="00ED2373" w:rsidRPr="00ED2373">
        <w:rPr>
          <w:color w:val="010000"/>
        </w:rPr>
        <w:t xml:space="preserve"> </w:t>
      </w:r>
      <w:r w:rsidRPr="00ED2373">
        <w:rPr>
          <w:color w:val="010000"/>
        </w:rPr>
        <w:t>Başvurucular, Komisyon tarafından belirlenen tazminat tutarının hakkaniyete aykırı olduğunu belirtmiştir. Tazminat belirlenirken 2018 yılında Buca Belediyesi tarafından ilan edilen emlak vergisi rayiç bedelinin dikkate alınması gerektiğini, bu yapılamıyorsa rayiç emsal değeri araştırması yapılarak tazminat tutarının belirlenmesi gerektiğini ifade etmiştir. Tazminat miktarının yasal faizi ile birlikte hükmedilmediğinden yakınan başvurucular sonuç olarak tazminat tutarının az olması dolayısıyla mülkiyet haklarının ihlal edildiğini ileri sürmüştür.</w:t>
      </w:r>
    </w:p>
    <w:p w:rsidR="00C5583C" w:rsidRPr="00ED2373" w:rsidRDefault="00C5583C" w:rsidP="00ED2373">
      <w:pPr>
        <w:widowControl/>
        <w:suppressAutoHyphens w:val="0"/>
        <w:spacing w:after="200"/>
        <w:ind w:left="283" w:right="283" w:firstLine="567"/>
        <w:jc w:val="both"/>
        <w:rPr>
          <w:color w:val="010000"/>
        </w:rPr>
      </w:pPr>
      <w:r w:rsidRPr="00ED2373">
        <w:rPr>
          <w:b/>
          <w:color w:val="010000"/>
        </w:rPr>
        <w:t>2.</w:t>
      </w:r>
      <w:r w:rsidR="00ED2373" w:rsidRPr="00ED2373">
        <w:rPr>
          <w:color w:val="010000"/>
        </w:rPr>
        <w:t xml:space="preserve"> </w:t>
      </w:r>
      <w:r w:rsidRPr="00ED2373">
        <w:rPr>
          <w:b/>
          <w:color w:val="010000"/>
        </w:rPr>
        <w:t>Değerlendirme</w:t>
      </w:r>
    </w:p>
    <w:p w:rsidR="00C5583C" w:rsidRPr="00ED2373" w:rsidRDefault="00C5583C" w:rsidP="00ED2373">
      <w:pPr>
        <w:widowControl/>
        <w:suppressAutoHyphens w:val="0"/>
        <w:spacing w:after="200"/>
        <w:ind w:left="283" w:right="283" w:firstLine="567"/>
        <w:jc w:val="both"/>
        <w:rPr>
          <w:color w:val="010000"/>
        </w:rPr>
      </w:pPr>
      <w:r w:rsidRPr="00ED2373">
        <w:rPr>
          <w:color w:val="010000"/>
        </w:rPr>
        <w:t>25.</w:t>
      </w:r>
      <w:r w:rsidR="00ED2373" w:rsidRPr="00ED2373">
        <w:rPr>
          <w:color w:val="010000"/>
        </w:rPr>
        <w:t xml:space="preserve"> </w:t>
      </w:r>
      <w:r w:rsidRPr="00ED2373">
        <w:rPr>
          <w:color w:val="010000"/>
        </w:rPr>
        <w:t>Anayasa’nın</w:t>
      </w:r>
      <w:r w:rsidRPr="00ED2373">
        <w:rPr>
          <w:i/>
          <w:iCs/>
          <w:color w:val="010000"/>
        </w:rPr>
        <w:t xml:space="preserve"> "Mülkiyet hakkı"</w:t>
      </w:r>
      <w:r w:rsidRPr="00ED2373">
        <w:rPr>
          <w:color w:val="010000"/>
        </w:rPr>
        <w:t xml:space="preserve"> kenar başlıklı 35. maddesi şöyledir:</w:t>
      </w:r>
    </w:p>
    <w:p w:rsidR="00C5583C" w:rsidRPr="00ED2373" w:rsidRDefault="00ED2373" w:rsidP="00ED2373">
      <w:pPr>
        <w:widowControl/>
        <w:suppressAutoHyphens w:val="0"/>
        <w:spacing w:after="200"/>
        <w:ind w:left="283" w:right="283" w:firstLine="567"/>
        <w:jc w:val="both"/>
        <w:rPr>
          <w:color w:val="010000"/>
        </w:rPr>
      </w:pPr>
      <w:r w:rsidRPr="00ED2373">
        <w:rPr>
          <w:i/>
          <w:iCs/>
          <w:color w:val="010000"/>
          <w:sz w:val="22"/>
        </w:rPr>
        <w:t xml:space="preserve"> </w:t>
      </w:r>
      <w:r w:rsidR="00C5583C" w:rsidRPr="00ED2373">
        <w:rPr>
          <w:i/>
          <w:iCs/>
          <w:color w:val="010000"/>
          <w:sz w:val="22"/>
        </w:rPr>
        <w:t>“Herkes, mülkiyet ve miras haklarına sahiptir.</w:t>
      </w:r>
    </w:p>
    <w:p w:rsidR="00C5583C" w:rsidRPr="00ED2373" w:rsidRDefault="00C5583C" w:rsidP="00ED2373">
      <w:pPr>
        <w:widowControl/>
        <w:suppressAutoHyphens w:val="0"/>
        <w:spacing w:after="200"/>
        <w:ind w:left="283" w:right="283" w:firstLine="567"/>
        <w:jc w:val="both"/>
        <w:rPr>
          <w:color w:val="010000"/>
        </w:rPr>
      </w:pPr>
      <w:r w:rsidRPr="00ED2373">
        <w:rPr>
          <w:i/>
          <w:iCs/>
          <w:color w:val="010000"/>
          <w:sz w:val="22"/>
        </w:rPr>
        <w:t>Bu haklar, ancak kamu yararı amacıyla, kanunla sınırlanabilir.</w:t>
      </w:r>
    </w:p>
    <w:p w:rsidR="00C5583C" w:rsidRPr="00ED2373" w:rsidRDefault="00C5583C" w:rsidP="00ED2373">
      <w:pPr>
        <w:widowControl/>
        <w:suppressAutoHyphens w:val="0"/>
        <w:spacing w:after="200"/>
        <w:ind w:left="283" w:right="283" w:firstLine="567"/>
        <w:jc w:val="both"/>
        <w:rPr>
          <w:color w:val="010000"/>
        </w:rPr>
      </w:pPr>
      <w:r w:rsidRPr="00ED2373">
        <w:rPr>
          <w:i/>
          <w:iCs/>
          <w:color w:val="010000"/>
          <w:sz w:val="22"/>
        </w:rPr>
        <w:t>Mülkiyet hakkının kullanılması toplum yararına aykırı olamaz.”</w:t>
      </w:r>
    </w:p>
    <w:p w:rsidR="00C5583C" w:rsidRPr="00ED2373" w:rsidRDefault="00C5583C" w:rsidP="00ED2373">
      <w:pPr>
        <w:widowControl/>
        <w:suppressAutoHyphens w:val="0"/>
        <w:spacing w:after="200"/>
        <w:ind w:left="283" w:right="283" w:firstLine="567"/>
        <w:jc w:val="both"/>
        <w:rPr>
          <w:color w:val="010000"/>
        </w:rPr>
      </w:pPr>
      <w:r w:rsidRPr="00ED2373">
        <w:rPr>
          <w:color w:val="010000"/>
        </w:rPr>
        <w:t>26.</w:t>
      </w:r>
      <w:r w:rsidR="00ED2373" w:rsidRPr="00ED2373">
        <w:rPr>
          <w:color w:val="010000"/>
        </w:rPr>
        <w:t xml:space="preserve"> </w:t>
      </w:r>
      <w:r w:rsidRPr="00ED2373">
        <w:rPr>
          <w:color w:val="010000"/>
        </w:rPr>
        <w:t xml:space="preserve">30/3/2011 tarihli ve 6216 sayılı Anayasa Mahkemesinin Kuruluşu ve Yargılama Usulleri Hakkında Kanun’un 48. maddesinin (2) numaralı fıkrasında açıkça dayanaktan yoksun başvuruların Anayasa Mahkemesince kabul edilemezliğine karar verilebileceği belirtilmiştir. Bu bağlamda başvurucunun ihlal iddialarını kanıtlayamadığı, temel haklara </w:t>
      </w:r>
      <w:r w:rsidRPr="00ED2373">
        <w:rPr>
          <w:color w:val="010000"/>
        </w:rPr>
        <w:lastRenderedPageBreak/>
        <w:t>yönelik bir müdahalenin olmadığı veya müdahalenin meşru olduğu açık olan başvurular ile karmaşık veya zorlama şikâyetlerden ibaret başvurular açıkça dayanaktan yoksun kabul edilebilir (</w:t>
      </w:r>
      <w:r w:rsidRPr="00ED2373">
        <w:rPr>
          <w:i/>
          <w:iCs/>
          <w:color w:val="010000"/>
        </w:rPr>
        <w:t>Hikmet Balabanoğlu</w:t>
      </w:r>
      <w:r w:rsidRPr="00ED2373">
        <w:rPr>
          <w:color w:val="010000"/>
        </w:rPr>
        <w:t>, B. No: 2012/1334, 17/9/2013, § 24).</w:t>
      </w:r>
    </w:p>
    <w:p w:rsidR="00C5583C" w:rsidRPr="00ED2373" w:rsidRDefault="00C5583C" w:rsidP="00ED2373">
      <w:pPr>
        <w:widowControl/>
        <w:suppressAutoHyphens w:val="0"/>
        <w:spacing w:after="200"/>
        <w:ind w:left="283" w:right="283" w:firstLine="567"/>
        <w:jc w:val="both"/>
        <w:rPr>
          <w:color w:val="010000"/>
        </w:rPr>
      </w:pPr>
      <w:r w:rsidRPr="00ED2373">
        <w:rPr>
          <w:color w:val="010000"/>
        </w:rPr>
        <w:t>27.</w:t>
      </w:r>
      <w:r w:rsidR="00ED2373" w:rsidRPr="00ED2373">
        <w:rPr>
          <w:color w:val="010000"/>
        </w:rPr>
        <w:t xml:space="preserve"> </w:t>
      </w:r>
      <w:r w:rsidRPr="00ED2373">
        <w:rPr>
          <w:color w:val="010000"/>
        </w:rPr>
        <w:t>Başvurucuların şikâyetine konu</w:t>
      </w:r>
      <w:r w:rsidRPr="00ED2373">
        <w:rPr>
          <w:i/>
          <w:iCs/>
          <w:color w:val="010000"/>
        </w:rPr>
        <w:t xml:space="preserve"> tapu kaydının iptaline bağlı olarak ödenmesi gereken tazminatın</w:t>
      </w:r>
      <w:r w:rsidRPr="00ED2373">
        <w:rPr>
          <w:color w:val="010000"/>
        </w:rPr>
        <w:t xml:space="preserve"> mevcut olduğu, Komisyon ve Bölge İdare Mahkemesince kabul edilmiştir. Başvurucuların bu alacağının Anayasa'nın 35. maddesi anlamında mülkiyet hakkı kapsamında </w:t>
      </w:r>
      <w:r w:rsidRPr="00ED2373">
        <w:rPr>
          <w:i/>
          <w:iCs/>
          <w:color w:val="010000"/>
        </w:rPr>
        <w:t>mülk</w:t>
      </w:r>
      <w:r w:rsidRPr="00ED2373">
        <w:rPr>
          <w:color w:val="010000"/>
        </w:rPr>
        <w:t xml:space="preserve"> teşkil ettiği kuşkusuzdur.</w:t>
      </w:r>
    </w:p>
    <w:p w:rsidR="00C5583C" w:rsidRPr="00ED2373" w:rsidRDefault="00C5583C" w:rsidP="00ED2373">
      <w:pPr>
        <w:widowControl/>
        <w:suppressAutoHyphens w:val="0"/>
        <w:spacing w:after="200"/>
        <w:ind w:left="283" w:right="283" w:firstLine="567"/>
        <w:jc w:val="both"/>
        <w:rPr>
          <w:color w:val="010000"/>
        </w:rPr>
      </w:pPr>
      <w:r w:rsidRPr="00ED2373">
        <w:rPr>
          <w:color w:val="010000"/>
        </w:rPr>
        <w:t>28.</w:t>
      </w:r>
      <w:r w:rsidR="00ED2373" w:rsidRPr="00ED2373">
        <w:rPr>
          <w:color w:val="010000"/>
        </w:rPr>
        <w:t xml:space="preserve"> </w:t>
      </w:r>
      <w:r w:rsidRPr="00ED2373">
        <w:rPr>
          <w:color w:val="010000"/>
        </w:rPr>
        <w:t>Anayasa Mahkemesi; kanun koyucunun bir hak olarak öngördüğü veya kamu borcu hâline gelmiş ödemelerin geç yapılması nedeniyle mağdur olunduğu iddiasıyla yapılan başvurularda, alacakta veya hakka konu bedelde meydana gelen değer aşınmalarının başvurucular üzerinde orantısız bir yük oluşturması hâlinde mülkiyet hakkının ihlaline karar vermiştir (</w:t>
      </w:r>
      <w:r w:rsidRPr="00ED2373">
        <w:rPr>
          <w:i/>
          <w:iCs/>
          <w:color w:val="010000"/>
        </w:rPr>
        <w:t>Mehmet Akdoğan ve diğerleri,</w:t>
      </w:r>
      <w:r w:rsidRPr="00ED2373">
        <w:rPr>
          <w:color w:val="010000"/>
        </w:rPr>
        <w:t xml:space="preserve"> B. No: 2013/817, 19/12/2013; </w:t>
      </w:r>
      <w:r w:rsidRPr="00ED2373">
        <w:rPr>
          <w:i/>
          <w:iCs/>
          <w:color w:val="010000"/>
        </w:rPr>
        <w:t>Akel Gıda San. ve Tic. A.Ş.</w:t>
      </w:r>
      <w:r w:rsidRPr="00ED2373">
        <w:rPr>
          <w:color w:val="010000"/>
        </w:rPr>
        <w:t xml:space="preserve">, B. No: 2013/28, 25/2/2015; </w:t>
      </w:r>
      <w:r w:rsidRPr="00ED2373">
        <w:rPr>
          <w:i/>
          <w:iCs/>
          <w:color w:val="010000"/>
        </w:rPr>
        <w:t>Ferda Yeşiltepe</w:t>
      </w:r>
      <w:r w:rsidRPr="00ED2373">
        <w:rPr>
          <w:color w:val="010000"/>
        </w:rPr>
        <w:t xml:space="preserve"> [GK], B. No: 2014/7621, §§ 63-76). Bu bağlamda Anayasa Mahkemesi, mahkemelerce hükmedilen alacak veya tazminatların enflasyon karşısında aşırı ölçüde değer kaybettiği başvurularda ölçülülük yönünden mülkiyet hakkının ihlal edildiğine karar vermiştir (</w:t>
      </w:r>
      <w:r w:rsidRPr="00ED2373">
        <w:rPr>
          <w:i/>
          <w:iCs/>
          <w:color w:val="010000"/>
        </w:rPr>
        <w:t>Abdulhalim Bozboğa</w:t>
      </w:r>
      <w:r w:rsidRPr="00ED2373">
        <w:rPr>
          <w:color w:val="010000"/>
        </w:rPr>
        <w:t xml:space="preserve">, B. No: 2013/6880, 23/3/2016, §§ 48-66; </w:t>
      </w:r>
      <w:r w:rsidRPr="00ED2373">
        <w:rPr>
          <w:i/>
          <w:iCs/>
          <w:color w:val="010000"/>
        </w:rPr>
        <w:t xml:space="preserve">ANO İnşaat ve Ticaret Ltd. Şti. </w:t>
      </w:r>
      <w:r w:rsidRPr="00ED2373">
        <w:rPr>
          <w:color w:val="010000"/>
        </w:rPr>
        <w:t xml:space="preserve">[GK], B. No: 2014/2267, 21/12/2017, §§ 69-82). </w:t>
      </w:r>
    </w:p>
    <w:p w:rsidR="00C5583C" w:rsidRPr="00ED2373" w:rsidRDefault="00C5583C" w:rsidP="00ED2373">
      <w:pPr>
        <w:widowControl/>
        <w:suppressAutoHyphens w:val="0"/>
        <w:spacing w:after="200"/>
        <w:ind w:left="283" w:right="283" w:firstLine="567"/>
        <w:jc w:val="both"/>
        <w:rPr>
          <w:color w:val="010000"/>
        </w:rPr>
      </w:pPr>
      <w:r w:rsidRPr="00ED2373">
        <w:rPr>
          <w:color w:val="010000"/>
        </w:rPr>
        <w:t>29.</w:t>
      </w:r>
      <w:r w:rsidR="00ED2373" w:rsidRPr="00ED2373">
        <w:rPr>
          <w:color w:val="010000"/>
        </w:rPr>
        <w:t xml:space="preserve"> </w:t>
      </w:r>
      <w:r w:rsidRPr="00ED2373">
        <w:rPr>
          <w:color w:val="010000"/>
        </w:rPr>
        <w:t xml:space="preserve">Başvuruya konu olayda Komisyon, başvurucuların taşınmazlarının orman vasfında kabul edilerek Hazine adına tescil edilmesine bağlı olarak mülkiyet haklarının ihlal edildiğine karar vermiş ve taşınmazın değerine oranla tespit etmiş olduğu tazminatın başvuruculara ödenmesi gerektiği sonucuna varmıştır. Başvurucular söz konusu husus ile ilgili olarak tespit edilen tazminat tutarının az olduğundan yakınmıştır. Ancak hesap edilen tazminat tutarının enflasyon karşısında değer kaybettiği ya da geç ödenme nedeniyle değer aşınmasına uğradığı konusunda herhangi bir iddia ileri sürmemiştir. Bu durumda başvurucuların mülkiyet hakkına yönelik bir ihlalin olmadığının açık olduğu sonucuna ulaşılmıştır. </w:t>
      </w:r>
    </w:p>
    <w:p w:rsidR="00C5583C" w:rsidRPr="00ED2373" w:rsidRDefault="00C5583C" w:rsidP="00ED2373">
      <w:pPr>
        <w:widowControl/>
        <w:suppressAutoHyphens w:val="0"/>
        <w:spacing w:after="200"/>
        <w:ind w:left="283" w:right="283" w:firstLine="567"/>
        <w:jc w:val="both"/>
        <w:rPr>
          <w:color w:val="010000"/>
        </w:rPr>
      </w:pPr>
      <w:r w:rsidRPr="00ED2373">
        <w:rPr>
          <w:color w:val="010000"/>
        </w:rPr>
        <w:t>30.</w:t>
      </w:r>
      <w:r w:rsidR="00ED2373" w:rsidRPr="00ED2373">
        <w:rPr>
          <w:color w:val="010000"/>
        </w:rPr>
        <w:t xml:space="preserve"> </w:t>
      </w:r>
      <w:r w:rsidRPr="00ED2373">
        <w:rPr>
          <w:color w:val="010000"/>
        </w:rPr>
        <w:t>Açıklanan gerekçelerle mülkiyet hakkının ihlal edildiğine ilişkin iddia yönünden başvurunun diğer kabul edilebilirlik koşulları yönünden incelenmeksizin</w:t>
      </w:r>
      <w:r w:rsidRPr="00ED2373">
        <w:rPr>
          <w:i/>
          <w:iCs/>
          <w:color w:val="010000"/>
        </w:rPr>
        <w:t xml:space="preserve"> açıkça dayanaktan yoksun olması</w:t>
      </w:r>
      <w:r w:rsidRPr="00ED2373">
        <w:rPr>
          <w:color w:val="010000"/>
        </w:rPr>
        <w:t xml:space="preserve"> nedeniyle kabul edilemez olduğuna karar verilmesi gerekir.</w:t>
      </w:r>
    </w:p>
    <w:p w:rsidR="00C5583C" w:rsidRPr="00ED2373" w:rsidRDefault="00C5583C" w:rsidP="00ED2373">
      <w:pPr>
        <w:widowControl/>
        <w:suppressAutoHyphens w:val="0"/>
        <w:spacing w:after="200"/>
        <w:ind w:left="283" w:right="283" w:firstLine="567"/>
        <w:jc w:val="both"/>
        <w:rPr>
          <w:color w:val="010000"/>
        </w:rPr>
      </w:pPr>
      <w:r w:rsidRPr="00ED2373">
        <w:rPr>
          <w:b/>
          <w:color w:val="010000"/>
        </w:rPr>
        <w:t>B.</w:t>
      </w:r>
      <w:r w:rsidR="00ED2373" w:rsidRPr="00ED2373">
        <w:rPr>
          <w:color w:val="010000"/>
        </w:rPr>
        <w:t xml:space="preserve"> </w:t>
      </w:r>
      <w:r w:rsidRPr="00ED2373">
        <w:rPr>
          <w:b/>
          <w:color w:val="010000"/>
        </w:rPr>
        <w:t>Makul Sürede Yargılanma Hakkının İhlal Edildiğine İlişkin İddia</w:t>
      </w:r>
    </w:p>
    <w:p w:rsidR="00C5583C" w:rsidRPr="00ED2373" w:rsidRDefault="00C5583C" w:rsidP="00ED2373">
      <w:pPr>
        <w:widowControl/>
        <w:suppressAutoHyphens w:val="0"/>
        <w:spacing w:after="200"/>
        <w:ind w:left="283" w:right="283" w:firstLine="567"/>
        <w:jc w:val="both"/>
        <w:rPr>
          <w:color w:val="010000"/>
        </w:rPr>
      </w:pPr>
      <w:r w:rsidRPr="00ED2373">
        <w:rPr>
          <w:b/>
          <w:color w:val="010000"/>
        </w:rPr>
        <w:t>1.</w:t>
      </w:r>
      <w:r w:rsidR="00ED2373" w:rsidRPr="00ED2373">
        <w:rPr>
          <w:color w:val="010000"/>
        </w:rPr>
        <w:t xml:space="preserve"> </w:t>
      </w:r>
      <w:r w:rsidRPr="00ED2373">
        <w:rPr>
          <w:b/>
          <w:color w:val="010000"/>
        </w:rPr>
        <w:t>Başvurucuların İddiaları</w:t>
      </w:r>
    </w:p>
    <w:p w:rsidR="00C5583C" w:rsidRPr="00ED2373" w:rsidRDefault="00C5583C" w:rsidP="00ED2373">
      <w:pPr>
        <w:widowControl/>
        <w:suppressAutoHyphens w:val="0"/>
        <w:spacing w:after="200"/>
        <w:ind w:left="283" w:right="283" w:firstLine="567"/>
        <w:jc w:val="both"/>
        <w:rPr>
          <w:color w:val="010000"/>
        </w:rPr>
      </w:pPr>
      <w:r w:rsidRPr="00ED2373">
        <w:rPr>
          <w:color w:val="010000"/>
        </w:rPr>
        <w:t>31.</w:t>
      </w:r>
      <w:r w:rsidR="00ED2373" w:rsidRPr="00ED2373">
        <w:rPr>
          <w:color w:val="010000"/>
        </w:rPr>
        <w:t xml:space="preserve"> </w:t>
      </w:r>
      <w:r w:rsidRPr="00ED2373">
        <w:rPr>
          <w:color w:val="010000"/>
        </w:rPr>
        <w:t>Başvurucular, uzun süren yargılama nedeniyle makul sürede yargılanma haklarının ihlal edildiğini ileri sürmüştür.</w:t>
      </w:r>
    </w:p>
    <w:p w:rsidR="00C5583C" w:rsidRPr="00ED2373" w:rsidRDefault="00C5583C" w:rsidP="00ED2373">
      <w:pPr>
        <w:widowControl/>
        <w:suppressAutoHyphens w:val="0"/>
        <w:spacing w:after="200"/>
        <w:ind w:left="283" w:right="283" w:firstLine="567"/>
        <w:jc w:val="both"/>
        <w:rPr>
          <w:color w:val="010000"/>
        </w:rPr>
      </w:pPr>
      <w:r w:rsidRPr="00ED2373">
        <w:rPr>
          <w:b/>
          <w:color w:val="010000"/>
        </w:rPr>
        <w:t>2.</w:t>
      </w:r>
      <w:r w:rsidR="00ED2373" w:rsidRPr="00ED2373">
        <w:rPr>
          <w:color w:val="010000"/>
        </w:rPr>
        <w:t xml:space="preserve"> </w:t>
      </w:r>
      <w:r w:rsidRPr="00ED2373">
        <w:rPr>
          <w:b/>
          <w:color w:val="010000"/>
        </w:rPr>
        <w:t>Değerlendirme</w:t>
      </w:r>
    </w:p>
    <w:p w:rsidR="00C5583C" w:rsidRPr="00ED2373" w:rsidRDefault="00C5583C" w:rsidP="00ED2373">
      <w:pPr>
        <w:widowControl/>
        <w:suppressAutoHyphens w:val="0"/>
        <w:spacing w:after="200"/>
        <w:ind w:left="283" w:right="283" w:firstLine="567"/>
        <w:jc w:val="both"/>
        <w:rPr>
          <w:color w:val="010000"/>
        </w:rPr>
      </w:pPr>
      <w:r w:rsidRPr="00ED2373">
        <w:rPr>
          <w:color w:val="010000"/>
        </w:rPr>
        <w:t>32.</w:t>
      </w:r>
      <w:r w:rsidR="00ED2373" w:rsidRPr="00ED2373">
        <w:rPr>
          <w:color w:val="010000"/>
        </w:rPr>
        <w:t xml:space="preserve"> </w:t>
      </w:r>
      <w:r w:rsidRPr="00ED2373">
        <w:rPr>
          <w:color w:val="010000"/>
        </w:rPr>
        <w:t>6216 sayılı Kanun’un geçici 1. maddesinin (8) numaralı fıkrası uyarınca Anayasa Mahkemesinin zaman bakımından yetkisinin başlangıç tarihi 23/9/2012 olup bu tarihten sonra kesinleşen nihai işlem ve kararlar aleyhine yapılan bireysel başvurular incelenebilir (</w:t>
      </w:r>
      <w:r w:rsidRPr="00ED2373">
        <w:rPr>
          <w:i/>
          <w:iCs/>
          <w:color w:val="010000"/>
        </w:rPr>
        <w:t xml:space="preserve">Zafer Öztürk, </w:t>
      </w:r>
      <w:r w:rsidRPr="00ED2373">
        <w:rPr>
          <w:color w:val="010000"/>
        </w:rPr>
        <w:t>B. No: 2012/51, 25/12/2012, § 17).</w:t>
      </w:r>
    </w:p>
    <w:p w:rsidR="00C5583C" w:rsidRPr="00ED2373" w:rsidRDefault="00C5583C" w:rsidP="00ED2373">
      <w:pPr>
        <w:pStyle w:val="edf1393440552765"/>
        <w:widowControl/>
        <w:suppressAutoHyphens w:val="0"/>
        <w:spacing w:after="200"/>
        <w:ind w:left="283" w:right="283" w:firstLine="567"/>
        <w:jc w:val="both"/>
        <w:rPr>
          <w:rFonts w:cs="Times New Roman"/>
          <w:color w:val="010000"/>
        </w:rPr>
      </w:pPr>
      <w:r w:rsidRPr="00ED2373">
        <w:rPr>
          <w:rFonts w:cs="Times New Roman"/>
          <w:color w:val="010000"/>
        </w:rPr>
        <w:t>33.</w:t>
      </w:r>
      <w:r w:rsidR="00ED2373" w:rsidRPr="00ED2373">
        <w:rPr>
          <w:rFonts w:cs="Times New Roman"/>
          <w:color w:val="010000"/>
        </w:rPr>
        <w:t xml:space="preserve"> </w:t>
      </w:r>
      <w:r w:rsidRPr="00ED2373">
        <w:rPr>
          <w:rFonts w:cs="Times New Roman"/>
          <w:color w:val="010000"/>
        </w:rPr>
        <w:t>Anayasa Mahkemesinin zaman bakımından yetkisinin doğru olarak belirlenebilmesi için kesinleşen nihai işlem ve kararın tarihinin yanı sıra gerçekleştiği iddia edilen müdahalenin zamanının da doğru tespit edilmesi gerekir. Bu tespit yapılırken müdahaleyi oluşturan olaylar ve ihlal edildiği iddia edilen hakkın kapsamı birlikte değerlendirilmelidir (</w:t>
      </w:r>
      <w:r w:rsidRPr="00ED2373">
        <w:rPr>
          <w:rFonts w:cs="Times New Roman"/>
          <w:i/>
          <w:iCs/>
          <w:color w:val="010000"/>
        </w:rPr>
        <w:t xml:space="preserve">Zeycan </w:t>
      </w:r>
      <w:proofErr w:type="spellStart"/>
      <w:r w:rsidRPr="00ED2373">
        <w:rPr>
          <w:rFonts w:cs="Times New Roman"/>
          <w:i/>
          <w:iCs/>
          <w:color w:val="010000"/>
        </w:rPr>
        <w:t>Yedigöl</w:t>
      </w:r>
      <w:proofErr w:type="spellEnd"/>
      <w:r w:rsidRPr="00ED2373">
        <w:rPr>
          <w:rFonts w:cs="Times New Roman"/>
          <w:color w:val="010000"/>
        </w:rPr>
        <w:t xml:space="preserve"> [GK], B. No: 2013/1566, 10/12/2015, § 31).</w:t>
      </w:r>
    </w:p>
    <w:p w:rsidR="00C5583C" w:rsidRPr="00ED2373" w:rsidRDefault="00C5583C" w:rsidP="00ED2373">
      <w:pPr>
        <w:pStyle w:val="edf1393440552765"/>
        <w:widowControl/>
        <w:suppressAutoHyphens w:val="0"/>
        <w:spacing w:after="200"/>
        <w:ind w:left="283" w:right="283" w:firstLine="567"/>
        <w:jc w:val="both"/>
        <w:rPr>
          <w:rFonts w:cs="Times New Roman"/>
          <w:color w:val="010000"/>
        </w:rPr>
      </w:pPr>
      <w:r w:rsidRPr="00ED2373">
        <w:rPr>
          <w:rFonts w:cs="Times New Roman"/>
          <w:color w:val="010000"/>
        </w:rPr>
        <w:lastRenderedPageBreak/>
        <w:t>34.</w:t>
      </w:r>
      <w:r w:rsidR="00ED2373" w:rsidRPr="00ED2373">
        <w:rPr>
          <w:rFonts w:cs="Times New Roman"/>
          <w:color w:val="010000"/>
        </w:rPr>
        <w:t xml:space="preserve"> </w:t>
      </w:r>
      <w:r w:rsidRPr="00ED2373">
        <w:rPr>
          <w:rFonts w:cs="Times New Roman"/>
          <w:color w:val="010000"/>
        </w:rPr>
        <w:t xml:space="preserve">Somut olayda başvurucuların tapu sicilinin tutulmasına bağlı olarak açmış oldukları tazminat davası 28/2/2011 tarihinde sona ermiştir. Bu durumda başvuruya konu sürecin Anayasa Mahkemesinin zaman bakımından yetkisinin başladığı 23/9/2012 tarihinden önce sonuçlandırıldığı anlaşılmaktadır. Öte yandan Komisyon da makul sürede yargılanma hakkı bakımından yapılan başvuruyu, </w:t>
      </w:r>
      <w:proofErr w:type="spellStart"/>
      <w:r w:rsidRPr="00ED2373">
        <w:rPr>
          <w:rFonts w:cs="Times New Roman"/>
          <w:color w:val="010000"/>
        </w:rPr>
        <w:t>AİHM'e</w:t>
      </w:r>
      <w:proofErr w:type="spellEnd"/>
      <w:r w:rsidRPr="00ED2373">
        <w:rPr>
          <w:rFonts w:cs="Times New Roman"/>
          <w:color w:val="010000"/>
        </w:rPr>
        <w:t xml:space="preserve"> süresinde başvuru yapılmadığından açıkça dayanaktan yoksun kabul etmiştir. Söz konusu durum makul sürede yargılanma hakkı bakımından 28/2/2011 tarihinde sona eren süreyi canlandırmayacaktır.</w:t>
      </w:r>
    </w:p>
    <w:p w:rsidR="00C5583C" w:rsidRPr="00ED2373" w:rsidRDefault="00C5583C" w:rsidP="00ED2373">
      <w:pPr>
        <w:pStyle w:val="edf1393440552765"/>
        <w:widowControl/>
        <w:suppressAutoHyphens w:val="0"/>
        <w:spacing w:after="200"/>
        <w:ind w:left="283" w:right="283" w:firstLine="567"/>
        <w:jc w:val="both"/>
        <w:rPr>
          <w:rFonts w:cs="Times New Roman"/>
          <w:color w:val="010000"/>
        </w:rPr>
      </w:pPr>
      <w:r w:rsidRPr="00ED2373">
        <w:rPr>
          <w:rFonts w:cs="Times New Roman"/>
          <w:color w:val="010000"/>
        </w:rPr>
        <w:t>35.</w:t>
      </w:r>
      <w:r w:rsidR="00ED2373" w:rsidRPr="00ED2373">
        <w:rPr>
          <w:rFonts w:cs="Times New Roman"/>
          <w:color w:val="010000"/>
        </w:rPr>
        <w:t xml:space="preserve"> </w:t>
      </w:r>
      <w:r w:rsidRPr="00ED2373">
        <w:rPr>
          <w:rFonts w:cs="Times New Roman"/>
          <w:color w:val="010000"/>
        </w:rPr>
        <w:t>Açıklanan gerekçelerle başvurunun bu kısmının diğer kabul edilebilirlik koşulları yönünden incelenmeksizin z</w:t>
      </w:r>
      <w:r w:rsidRPr="00ED2373">
        <w:rPr>
          <w:rFonts w:cs="Times New Roman"/>
          <w:i/>
          <w:iCs/>
          <w:color w:val="010000"/>
        </w:rPr>
        <w:t xml:space="preserve">aman bakımından yetkisizlik </w:t>
      </w:r>
      <w:r w:rsidRPr="00ED2373">
        <w:rPr>
          <w:rFonts w:cs="Times New Roman"/>
          <w:color w:val="010000"/>
        </w:rPr>
        <w:t>nedeniyle kabul edilemez olduğuna karar verilmesi gerekir.</w:t>
      </w:r>
    </w:p>
    <w:p w:rsidR="00C5583C" w:rsidRPr="00ED2373" w:rsidRDefault="00C5583C" w:rsidP="00ED2373">
      <w:pPr>
        <w:widowControl/>
        <w:suppressAutoHyphens w:val="0"/>
        <w:spacing w:after="200"/>
        <w:ind w:left="283" w:right="283" w:firstLine="567"/>
        <w:jc w:val="both"/>
        <w:rPr>
          <w:color w:val="010000"/>
        </w:rPr>
      </w:pPr>
      <w:r w:rsidRPr="00ED2373">
        <w:rPr>
          <w:b/>
          <w:color w:val="010000"/>
        </w:rPr>
        <w:t>V.</w:t>
      </w:r>
      <w:r w:rsidR="00ED2373" w:rsidRPr="00ED2373">
        <w:rPr>
          <w:color w:val="010000"/>
        </w:rPr>
        <w:t xml:space="preserve"> </w:t>
      </w:r>
      <w:r w:rsidRPr="00ED2373">
        <w:rPr>
          <w:b/>
          <w:color w:val="010000"/>
        </w:rPr>
        <w:t>HÜKÜM</w:t>
      </w:r>
    </w:p>
    <w:p w:rsidR="00C5583C" w:rsidRPr="00ED2373" w:rsidRDefault="00C5583C" w:rsidP="00ED2373">
      <w:pPr>
        <w:widowControl/>
        <w:suppressAutoHyphens w:val="0"/>
        <w:spacing w:after="200"/>
        <w:ind w:left="283" w:right="283" w:firstLine="567"/>
        <w:jc w:val="both"/>
        <w:rPr>
          <w:color w:val="010000"/>
        </w:rPr>
      </w:pPr>
      <w:r w:rsidRPr="00ED2373">
        <w:rPr>
          <w:color w:val="010000"/>
        </w:rPr>
        <w:t>Açıklanan gerekçelerle;</w:t>
      </w:r>
    </w:p>
    <w:p w:rsidR="00C5583C" w:rsidRPr="00ED2373" w:rsidRDefault="00C5583C" w:rsidP="00ED2373">
      <w:pPr>
        <w:widowControl/>
        <w:suppressAutoHyphens w:val="0"/>
        <w:spacing w:after="200"/>
        <w:ind w:left="283" w:right="283" w:firstLine="567"/>
        <w:jc w:val="both"/>
        <w:rPr>
          <w:color w:val="010000"/>
        </w:rPr>
      </w:pPr>
      <w:r w:rsidRPr="00ED2373">
        <w:rPr>
          <w:color w:val="010000"/>
        </w:rPr>
        <w:t>A.</w:t>
      </w:r>
      <w:r w:rsidR="00ED2373" w:rsidRPr="00ED2373">
        <w:rPr>
          <w:color w:val="010000"/>
        </w:rPr>
        <w:t xml:space="preserve"> </w:t>
      </w:r>
      <w:r w:rsidRPr="00ED2373">
        <w:rPr>
          <w:color w:val="010000"/>
        </w:rPr>
        <w:t xml:space="preserve">1. Mülkiyet hakkının ihlal edildiğine ilişkin iddianın </w:t>
      </w:r>
      <w:r w:rsidRPr="00ED2373">
        <w:rPr>
          <w:i/>
          <w:iCs/>
          <w:color w:val="010000"/>
        </w:rPr>
        <w:t xml:space="preserve">açıkça dayanaktan yoksun olması </w:t>
      </w:r>
      <w:r w:rsidRPr="00ED2373">
        <w:rPr>
          <w:color w:val="010000"/>
        </w:rPr>
        <w:t>nedeniyle KABUL EDİLEMEZ OLDUĞUNA,</w:t>
      </w:r>
    </w:p>
    <w:p w:rsidR="00C5583C" w:rsidRPr="00ED2373" w:rsidRDefault="00C5583C" w:rsidP="00ED2373">
      <w:pPr>
        <w:widowControl/>
        <w:suppressAutoHyphens w:val="0"/>
        <w:spacing w:after="200"/>
        <w:ind w:left="283" w:right="283" w:firstLine="850"/>
        <w:jc w:val="both"/>
        <w:rPr>
          <w:color w:val="010000"/>
        </w:rPr>
      </w:pPr>
      <w:r w:rsidRPr="00ED2373">
        <w:rPr>
          <w:color w:val="010000"/>
        </w:rPr>
        <w:t>2. Mak</w:t>
      </w:r>
      <w:bookmarkStart w:id="0" w:name="_GoBack"/>
      <w:bookmarkEnd w:id="0"/>
      <w:r w:rsidRPr="00ED2373">
        <w:rPr>
          <w:color w:val="010000"/>
        </w:rPr>
        <w:t xml:space="preserve">ul sürede yargılanma ihlal edildiğine ilişkin iddianın </w:t>
      </w:r>
      <w:r w:rsidRPr="00ED2373">
        <w:rPr>
          <w:i/>
          <w:iCs/>
          <w:color w:val="010000"/>
        </w:rPr>
        <w:t xml:space="preserve">zaman bakımından yetkisizlik </w:t>
      </w:r>
      <w:r w:rsidRPr="00ED2373">
        <w:rPr>
          <w:color w:val="010000"/>
        </w:rPr>
        <w:t>nedeniyle KABUL EDİLEMEZ OLDUĞUNA,</w:t>
      </w:r>
    </w:p>
    <w:p w:rsidR="00C5583C" w:rsidRPr="00ED2373" w:rsidRDefault="00C5583C" w:rsidP="00ED2373">
      <w:pPr>
        <w:widowControl/>
        <w:suppressAutoHyphens w:val="0"/>
        <w:spacing w:after="200"/>
        <w:ind w:left="283" w:right="283" w:firstLine="567"/>
        <w:jc w:val="both"/>
        <w:rPr>
          <w:color w:val="010000"/>
        </w:rPr>
      </w:pPr>
      <w:r w:rsidRPr="00ED2373">
        <w:rPr>
          <w:color w:val="010000"/>
        </w:rPr>
        <w:t>B.</w:t>
      </w:r>
      <w:r w:rsidR="00ED2373" w:rsidRPr="00ED2373">
        <w:rPr>
          <w:color w:val="010000"/>
        </w:rPr>
        <w:t xml:space="preserve"> </w:t>
      </w:r>
      <w:r w:rsidRPr="00ED2373">
        <w:rPr>
          <w:color w:val="010000"/>
        </w:rPr>
        <w:t>Yargılama giderlerinin başvurucular üzerinde BIRAKILMASINA 11/2/2021</w:t>
      </w:r>
      <w:r w:rsidR="00ED2373" w:rsidRPr="00ED2373">
        <w:rPr>
          <w:color w:val="010000"/>
        </w:rPr>
        <w:t xml:space="preserve"> </w:t>
      </w:r>
      <w:r w:rsidRPr="00ED2373">
        <w:rPr>
          <w:color w:val="010000"/>
        </w:rPr>
        <w:t>tarihinde OYBİRLİĞİYLE karar verildi.</w:t>
      </w:r>
    </w:p>
    <w:sectPr w:rsidR="00C5583C" w:rsidRPr="00ED2373" w:rsidSect="00ED2373">
      <w:pgSz w:w="11906" w:h="16838"/>
      <w:pgMar w:top="976" w:right="1417" w:bottom="941" w:left="1417" w:header="400" w:footer="400" w:gutter="0"/>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D4202" w:rsidRDefault="006D4202">
      <w:r>
        <w:separator/>
      </w:r>
    </w:p>
  </w:endnote>
  <w:endnote w:type="continuationSeparator" w:id="0">
    <w:p w:rsidR="006D4202" w:rsidRDefault="006D42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ndale Sans UI">
    <w:altName w:val="Calibri"/>
    <w:charset w:val="A2"/>
    <w:family w:val="auto"/>
    <w:pitch w:val="variable"/>
  </w:font>
  <w:font w:name="Arial">
    <w:panose1 w:val="020B0604020202020204"/>
    <w:charset w:val="A2"/>
    <w:family w:val="swiss"/>
    <w:pitch w:val="variable"/>
    <w:sig w:usb0="E0002EFF" w:usb1="C000785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5583C" w:rsidRDefault="00C5583C">
    <w:pPr>
      <w:pStyle w:val="AltBilgi"/>
      <w:jc w:val="right"/>
    </w:pPr>
    <w:r>
      <w:rPr>
        <w:color w:val="000000"/>
        <w:sz w:val="22"/>
      </w:rPr>
      <w:fldChar w:fldCharType="begin"/>
    </w:r>
    <w:r>
      <w:rPr>
        <w:color w:val="000000"/>
        <w:sz w:val="22"/>
      </w:rPr>
      <w:instrText xml:space="preserve"> PAGE </w:instrText>
    </w:r>
    <w:r>
      <w:rPr>
        <w:color w:val="000000"/>
        <w:sz w:val="22"/>
      </w:rPr>
      <w:fldChar w:fldCharType="separate"/>
    </w:r>
    <w:r>
      <w:rPr>
        <w:color w:val="000000"/>
        <w:sz w:val="22"/>
      </w:rPr>
      <w:t>6</w:t>
    </w:r>
    <w:r>
      <w:rPr>
        <w:color w:val="000000"/>
        <w:sz w:val="22"/>
      </w:rPr>
      <w:fldChar w:fldCharType="end"/>
    </w:r>
  </w:p>
  <w:p w:rsidR="00C5583C" w:rsidRDefault="00C5583C">
    <w:pPr>
      <w:pStyle w:val="AltBilgi"/>
      <w:spacing w:line="288" w:lineRule="exac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D4202" w:rsidRDefault="006D4202">
      <w:r>
        <w:separator/>
      </w:r>
    </w:p>
  </w:footnote>
  <w:footnote w:type="continuationSeparator" w:id="0">
    <w:p w:rsidR="006D4202" w:rsidRDefault="006D420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5583C" w:rsidRDefault="00C5583C">
    <w:pPr>
      <w:pStyle w:val="stBilgi"/>
      <w:tabs>
        <w:tab w:val="left" w:pos="2020"/>
      </w:tabs>
      <w:spacing w:line="288" w:lineRule="exact"/>
    </w:pPr>
    <w:r>
      <w:t>Başvuru Numarası</w:t>
    </w:r>
    <w:r>
      <w:tab/>
      <w:t>: 2018/35199</w:t>
    </w:r>
  </w:p>
  <w:p w:rsidR="00C5583C" w:rsidRDefault="00C5583C" w:rsidP="00ED2373">
    <w:pPr>
      <w:pStyle w:val="stBilgi"/>
      <w:tabs>
        <w:tab w:val="left" w:pos="2020"/>
      </w:tabs>
      <w:spacing w:line="288" w:lineRule="exact"/>
    </w:pPr>
    <w:r>
      <w:t>Karar Tarihi</w:t>
    </w:r>
    <w:r>
      <w:tab/>
      <w:t>: 11/2/2021</w:t>
    </w:r>
  </w:p>
  <w:p w:rsidR="00ED2373" w:rsidRDefault="00ED2373" w:rsidP="00ED2373">
    <w:pPr>
      <w:pStyle w:val="stBilgi"/>
      <w:tabs>
        <w:tab w:val="left" w:pos="202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20B3E"/>
    <w:rsid w:val="00120B3E"/>
    <w:rsid w:val="002C40C8"/>
    <w:rsid w:val="006D4202"/>
    <w:rsid w:val="00877CD6"/>
    <w:rsid w:val="008B2F6C"/>
    <w:rsid w:val="00C5583C"/>
    <w:rsid w:val="00ED2373"/>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5A8D023B"/>
  <w15:chartTrackingRefBased/>
  <w15:docId w15:val="{20719168-2953-4B95-8677-C00C0FE51C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suppressAutoHyphens/>
    </w:pPr>
    <w:rPr>
      <w:rFonts w:eastAsia="Andale Sans UI"/>
      <w:kern w:val="1"/>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stbalk">
    <w:name w:val="Üst başlık"/>
    <w:basedOn w:val="Normal"/>
    <w:next w:val="GvdeMetni"/>
    <w:pPr>
      <w:keepNext/>
      <w:spacing w:before="240" w:after="120"/>
    </w:pPr>
    <w:rPr>
      <w:rFonts w:ascii="Arial" w:eastAsia="MS PGothic" w:hAnsi="Arial"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1"/>
      <w:sz w:val="24"/>
      <w:szCs w:val="24"/>
      <w:lang w:eastAsia="fa-IR" w:bidi="fa-IR"/>
    </w:rPr>
  </w:style>
  <w:style w:type="paragraph" w:customStyle="1" w:styleId="edf1455005849122">
    <w:name w:val="edf_1455005849122"/>
    <w:pPr>
      <w:widowControl w:val="0"/>
      <w:suppressAutoHyphens/>
    </w:pPr>
    <w:rPr>
      <w:rFonts w:eastAsia="Andale Sans UI" w:cs="Tahoma"/>
      <w:kern w:val="1"/>
      <w:sz w:val="24"/>
      <w:szCs w:val="24"/>
      <w:lang w:eastAsia="fa-IR" w:bidi="fa-IR"/>
    </w:rPr>
  </w:style>
  <w:style w:type="paragraph" w:customStyle="1" w:styleId="edf1435132244821">
    <w:name w:val="edf_1435132244821"/>
    <w:pPr>
      <w:widowControl w:val="0"/>
      <w:suppressAutoHyphens/>
    </w:pPr>
    <w:rPr>
      <w:rFonts w:eastAsia="Andale Sans UI" w:cs="Tahoma"/>
      <w:kern w:val="1"/>
      <w:sz w:val="24"/>
      <w:szCs w:val="24"/>
      <w:lang w:eastAsia="fa-IR" w:bidi="fa-IR"/>
    </w:rPr>
  </w:style>
  <w:style w:type="paragraph" w:customStyle="1" w:styleId="edf1450278888505">
    <w:name w:val="edf_1450278888505"/>
    <w:pPr>
      <w:widowControl w:val="0"/>
      <w:suppressAutoHyphens/>
    </w:pPr>
    <w:rPr>
      <w:rFonts w:eastAsia="Andale Sans UI" w:cs="Tahoma"/>
      <w:kern w:val="1"/>
      <w:sz w:val="24"/>
      <w:szCs w:val="24"/>
      <w:lang w:eastAsia="fa-IR" w:bidi="fa-IR"/>
    </w:rPr>
  </w:style>
  <w:style w:type="paragraph" w:customStyle="1" w:styleId="edf1449437192616">
    <w:name w:val="edf_1449437192616"/>
    <w:pPr>
      <w:widowControl w:val="0"/>
      <w:suppressAutoHyphens/>
    </w:pPr>
    <w:rPr>
      <w:rFonts w:eastAsia="Andale Sans UI" w:cs="Tahoma"/>
      <w:kern w:val="1"/>
      <w:sz w:val="24"/>
      <w:szCs w:val="24"/>
      <w:lang w:eastAsia="fa-IR" w:bidi="fa-IR"/>
    </w:rPr>
  </w:style>
  <w:style w:type="paragraph" w:customStyle="1" w:styleId="edf1393440766750">
    <w:name w:val="edf_1393440766750"/>
    <w:pPr>
      <w:widowControl w:val="0"/>
      <w:suppressAutoHyphens/>
    </w:pPr>
    <w:rPr>
      <w:rFonts w:eastAsia="Andale Sans UI" w:cs="Tahoma"/>
      <w:kern w:val="1"/>
      <w:sz w:val="24"/>
      <w:szCs w:val="24"/>
      <w:lang w:eastAsia="fa-IR" w:bidi="fa-IR"/>
    </w:rPr>
  </w:style>
  <w:style w:type="paragraph" w:customStyle="1" w:styleId="edf1463494591182">
    <w:name w:val="edf_1463494591182"/>
    <w:pPr>
      <w:widowControl w:val="0"/>
      <w:suppressAutoHyphens/>
    </w:pPr>
    <w:rPr>
      <w:rFonts w:eastAsia="Andale Sans UI" w:cs="Tahoma"/>
      <w:kern w:val="1"/>
      <w:sz w:val="24"/>
      <w:szCs w:val="24"/>
      <w:lang w:eastAsia="fa-IR" w:bidi="fa-IR"/>
    </w:rPr>
  </w:style>
  <w:style w:type="paragraph" w:customStyle="1" w:styleId="edf1419594272479">
    <w:name w:val="edf_1419594272479"/>
    <w:pPr>
      <w:widowControl w:val="0"/>
      <w:suppressAutoHyphens/>
    </w:pPr>
    <w:rPr>
      <w:rFonts w:eastAsia="Andale Sans UI" w:cs="Tahoma"/>
      <w:kern w:val="1"/>
      <w:sz w:val="24"/>
      <w:szCs w:val="24"/>
      <w:lang w:eastAsia="fa-IR" w:bidi="fa-IR"/>
    </w:rPr>
  </w:style>
  <w:style w:type="paragraph" w:customStyle="1" w:styleId="edf1393440831590">
    <w:name w:val="edf_1393440831590"/>
    <w:pPr>
      <w:widowControl w:val="0"/>
      <w:suppressAutoHyphens/>
    </w:pPr>
    <w:rPr>
      <w:rFonts w:eastAsia="Andale Sans UI" w:cs="Tahoma"/>
      <w:kern w:val="1"/>
      <w:sz w:val="24"/>
      <w:szCs w:val="24"/>
      <w:lang w:eastAsia="fa-IR" w:bidi="fa-IR"/>
    </w:rPr>
  </w:style>
  <w:style w:type="paragraph" w:customStyle="1" w:styleId="edf1450279197849">
    <w:name w:val="edf_1450279197849"/>
    <w:pPr>
      <w:widowControl w:val="0"/>
      <w:suppressAutoHyphens/>
    </w:pPr>
    <w:rPr>
      <w:rFonts w:eastAsia="Andale Sans UI" w:cs="Tahoma"/>
      <w:kern w:val="1"/>
      <w:sz w:val="24"/>
      <w:szCs w:val="24"/>
      <w:lang w:eastAsia="fa-IR" w:bidi="fa-IR"/>
    </w:rPr>
  </w:style>
  <w:style w:type="paragraph" w:customStyle="1" w:styleId="default">
    <w:name w:val="default"/>
    <w:pPr>
      <w:widowControl w:val="0"/>
      <w:suppressAutoHyphens/>
    </w:pPr>
    <w:rPr>
      <w:rFonts w:ascii="Dialog" w:eastAsia="Andale Sans UI" w:hAnsi="Dialog" w:cs="Tahoma"/>
      <w:color w:val="333333"/>
      <w:kern w:val="1"/>
      <w:sz w:val="24"/>
      <w:szCs w:val="24"/>
      <w:lang w:eastAsia="fa-IR" w:bidi="fa-IR"/>
    </w:rPr>
  </w:style>
  <w:style w:type="paragraph" w:customStyle="1" w:styleId="edf1421826709193">
    <w:name w:val="edf_1421826709193"/>
    <w:pPr>
      <w:widowControl w:val="0"/>
      <w:suppressAutoHyphens/>
    </w:pPr>
    <w:rPr>
      <w:rFonts w:eastAsia="Andale Sans UI" w:cs="Tahoma"/>
      <w:kern w:val="1"/>
      <w:sz w:val="24"/>
      <w:szCs w:val="24"/>
      <w:lang w:eastAsia="fa-IR" w:bidi="fa-IR"/>
    </w:rPr>
  </w:style>
  <w:style w:type="paragraph" w:customStyle="1" w:styleId="edf1421826709195">
    <w:name w:val="edf_1421826709195"/>
    <w:pPr>
      <w:widowControl w:val="0"/>
      <w:suppressAutoHyphens/>
    </w:pPr>
    <w:rPr>
      <w:rFonts w:eastAsia="Andale Sans UI" w:cs="Tahoma"/>
      <w:kern w:val="1"/>
      <w:sz w:val="24"/>
      <w:szCs w:val="24"/>
      <w:lang w:eastAsia="fa-IR" w:bidi="fa-IR"/>
    </w:rPr>
  </w:style>
  <w:style w:type="paragraph" w:customStyle="1" w:styleId="edf1323698319733">
    <w:name w:val="edf_1323698319733"/>
    <w:pPr>
      <w:widowControl w:val="0"/>
      <w:suppressAutoHyphens/>
    </w:pPr>
    <w:rPr>
      <w:rFonts w:eastAsia="Andale Sans UI" w:cs="Tahoma"/>
      <w:kern w:val="1"/>
      <w:sz w:val="24"/>
      <w:szCs w:val="24"/>
      <w:lang w:eastAsia="fa-IR" w:bidi="fa-IR"/>
    </w:rPr>
  </w:style>
  <w:style w:type="paragraph" w:customStyle="1" w:styleId="hvl-default">
    <w:name w:val="hvl-default"/>
    <w:pPr>
      <w:widowControl w:val="0"/>
      <w:suppressAutoHyphens/>
    </w:pPr>
    <w:rPr>
      <w:rFonts w:eastAsia="Andale Sans UI" w:cs="Tahoma"/>
      <w:kern w:val="1"/>
      <w:sz w:val="24"/>
      <w:szCs w:val="24"/>
      <w:lang w:eastAsia="fa-IR" w:bidi="fa-IR"/>
    </w:rPr>
  </w:style>
  <w:style w:type="paragraph" w:customStyle="1" w:styleId="edf1464250365882">
    <w:name w:val="edf_1464250365882"/>
    <w:pPr>
      <w:widowControl w:val="0"/>
      <w:suppressAutoHyphens/>
    </w:pPr>
    <w:rPr>
      <w:rFonts w:eastAsia="Andale Sans UI" w:cs="Tahoma"/>
      <w:kern w:val="1"/>
      <w:sz w:val="24"/>
      <w:szCs w:val="24"/>
      <w:lang w:eastAsia="fa-IR" w:bidi="fa-IR"/>
    </w:rPr>
  </w:style>
  <w:style w:type="paragraph" w:customStyle="1" w:styleId="edf1419597503565">
    <w:name w:val="edf_1419597503565"/>
    <w:pPr>
      <w:widowControl w:val="0"/>
      <w:suppressAutoHyphens/>
    </w:pPr>
    <w:rPr>
      <w:rFonts w:eastAsia="Andale Sans UI" w:cs="Tahoma"/>
      <w:kern w:val="1"/>
      <w:sz w:val="24"/>
      <w:szCs w:val="24"/>
      <w:lang w:eastAsia="fa-IR" w:bidi="fa-IR"/>
    </w:rPr>
  </w:style>
  <w:style w:type="paragraph" w:customStyle="1" w:styleId="edf1450278888507">
    <w:name w:val="edf_1450278888507"/>
    <w:pPr>
      <w:widowControl w:val="0"/>
      <w:suppressAutoHyphens/>
    </w:pPr>
    <w:rPr>
      <w:rFonts w:eastAsia="Andale Sans UI" w:cs="Tahoma"/>
      <w:kern w:val="1"/>
      <w:sz w:val="24"/>
      <w:szCs w:val="24"/>
      <w:lang w:eastAsia="fa-IR" w:bidi="fa-IR"/>
    </w:rPr>
  </w:style>
  <w:style w:type="paragraph" w:customStyle="1" w:styleId="edf1363590918387">
    <w:name w:val="edf_1363590918387"/>
    <w:pPr>
      <w:widowControl w:val="0"/>
      <w:suppressAutoHyphens/>
    </w:pPr>
    <w:rPr>
      <w:rFonts w:eastAsia="Andale Sans UI" w:cs="Tahoma"/>
      <w:kern w:val="1"/>
      <w:sz w:val="24"/>
      <w:szCs w:val="24"/>
      <w:lang w:eastAsia="fa-IR" w:bidi="fa-IR"/>
    </w:rPr>
  </w:style>
  <w:style w:type="paragraph" w:styleId="stBilgi">
    <w:name w:val="header"/>
    <w:pPr>
      <w:widowControl w:val="0"/>
      <w:suppressAutoHyphens/>
    </w:pPr>
    <w:rPr>
      <w:rFonts w:eastAsia="Andale Sans UI" w:cs="Tahoma"/>
      <w:kern w:val="1"/>
      <w:sz w:val="24"/>
      <w:szCs w:val="24"/>
      <w:lang w:eastAsia="fa-IR" w:bidi="fa-IR"/>
    </w:rPr>
  </w:style>
  <w:style w:type="paragraph" w:styleId="AltBilgi">
    <w:name w:val="footer"/>
    <w:pPr>
      <w:widowControl w:val="0"/>
      <w:suppressAutoHyphens/>
    </w:pPr>
    <w:rPr>
      <w:rFonts w:eastAsia="Andale Sans UI" w:cs="Tahoma"/>
      <w:kern w:val="1"/>
      <w:sz w:val="24"/>
      <w:szCs w:val="24"/>
      <w:lang w:eastAsia="fa-IR"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6</Pages>
  <Words>1854</Words>
  <Characters>10568</Characters>
  <Application>Microsoft Office Word</Application>
  <DocSecurity>0</DocSecurity>
  <Lines>88</Lines>
  <Paragraphs>24</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12398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Kaan Metin ÇETİNER</dc:creator>
  <cp:keywords/>
  <cp:lastModifiedBy>Sibel YÖNDEM</cp:lastModifiedBy>
  <cp:revision>3</cp:revision>
  <cp:lastPrinted>1899-12-31T21:00:00Z</cp:lastPrinted>
  <dcterms:created xsi:type="dcterms:W3CDTF">2021-04-08T13:57:00Z</dcterms:created>
  <dcterms:modified xsi:type="dcterms:W3CDTF">2021-04-09T08:55:00Z</dcterms:modified>
</cp:coreProperties>
</file>