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722367" w:rsidRDefault="00722367"/>
    <w:p w:rsidR="00722367" w:rsidRDefault="00722367">
      <w:r>
        <w:tab/>
      </w:r>
      <w:r>
        <w:tab/>
      </w:r>
    </w:p>
    <w:p w:rsidR="00722367" w:rsidRDefault="00722367"/>
    <w:p w:rsidR="00722367" w:rsidRDefault="00722367"/>
    <w:p w:rsidR="00722367" w:rsidRDefault="00722367"/>
    <w:p w:rsidR="00722367" w:rsidRDefault="00722367">
      <w:pPr>
        <w:spacing w:after="100" w:line="288" w:lineRule="exact"/>
        <w:jc w:val="center"/>
      </w:pPr>
    </w:p>
    <w:p w:rsidR="00722367" w:rsidRDefault="00722367"/>
    <w:p w:rsidR="00722367" w:rsidRDefault="00722367"/>
    <w:p w:rsidR="00722367" w:rsidRDefault="00722367"/>
    <w:p w:rsidR="00722367" w:rsidRDefault="00722367"/>
    <w:p w:rsidR="00722367" w:rsidRDefault="00722367">
      <w:pPr>
        <w:spacing w:line="288" w:lineRule="exact"/>
        <w:jc w:val="center"/>
      </w:pPr>
      <w:r>
        <w:rPr>
          <w:b/>
          <w:sz w:val="28"/>
        </w:rPr>
        <w:t>TÜRKİYE CUMHURİYETİ</w:t>
      </w:r>
    </w:p>
    <w:p w:rsidR="00722367" w:rsidRDefault="00722367"/>
    <w:p w:rsidR="00722367" w:rsidRDefault="00722367">
      <w:pPr>
        <w:spacing w:line="288" w:lineRule="exact"/>
        <w:jc w:val="center"/>
      </w:pPr>
      <w:r>
        <w:rPr>
          <w:b/>
          <w:sz w:val="32"/>
        </w:rPr>
        <w:t>ANAYASA MAHKEMESİ</w:t>
      </w:r>
    </w:p>
    <w:p w:rsidR="00722367" w:rsidRDefault="00722367"/>
    <w:p w:rsidR="00722367" w:rsidRDefault="00722367"/>
    <w:p w:rsidR="00722367" w:rsidRDefault="00722367"/>
    <w:p w:rsidR="00722367" w:rsidRDefault="00722367"/>
    <w:p w:rsidR="00722367" w:rsidRDefault="00722367">
      <w:pPr>
        <w:spacing w:line="288" w:lineRule="exact"/>
        <w:jc w:val="center"/>
      </w:pPr>
      <w:r>
        <w:rPr>
          <w:b/>
          <w:sz w:val="28"/>
        </w:rPr>
        <w:t>BİRİNCİ BÖLÜM</w:t>
      </w:r>
    </w:p>
    <w:p w:rsidR="00722367" w:rsidRDefault="00722367"/>
    <w:p w:rsidR="00722367" w:rsidRDefault="00722367"/>
    <w:p w:rsidR="00722367" w:rsidRDefault="00722367"/>
    <w:p w:rsidR="00722367" w:rsidRDefault="00722367">
      <w:pPr>
        <w:spacing w:line="288" w:lineRule="exact"/>
        <w:jc w:val="center"/>
      </w:pPr>
      <w:r>
        <w:rPr>
          <w:b/>
        </w:rPr>
        <w:t>KARAR</w:t>
      </w:r>
    </w:p>
    <w:p w:rsidR="00722367" w:rsidRDefault="00722367">
      <w:pPr>
        <w:spacing w:line="288" w:lineRule="exact"/>
        <w:jc w:val="center"/>
      </w:pPr>
    </w:p>
    <w:p w:rsidR="00722367" w:rsidRDefault="00722367">
      <w:pPr>
        <w:spacing w:line="288" w:lineRule="exact"/>
        <w:jc w:val="center"/>
      </w:pPr>
    </w:p>
    <w:p w:rsidR="00722367" w:rsidRDefault="00722367">
      <w:pPr>
        <w:spacing w:line="288" w:lineRule="exact"/>
        <w:jc w:val="center"/>
      </w:pPr>
    </w:p>
    <w:p w:rsidR="00722367" w:rsidRDefault="00722367">
      <w:pPr>
        <w:spacing w:line="288" w:lineRule="exact"/>
        <w:jc w:val="center"/>
      </w:pPr>
      <w:r>
        <w:rPr>
          <w:b/>
        </w:rPr>
        <w:t>AHMET ÇULLU VE FAZİLET OKURER BAŞVURUSU</w:t>
      </w:r>
    </w:p>
    <w:p w:rsidR="00722367" w:rsidRDefault="00722367">
      <w:pPr>
        <w:spacing w:line="288" w:lineRule="exact"/>
        <w:jc w:val="center"/>
      </w:pPr>
    </w:p>
    <w:p w:rsidR="00722367" w:rsidRDefault="00722367">
      <w:pPr>
        <w:spacing w:line="288" w:lineRule="exact"/>
        <w:jc w:val="center"/>
      </w:pPr>
      <w:r>
        <w:t>(Başvuru Numarası: 2018/5938)</w:t>
      </w:r>
    </w:p>
    <w:p w:rsidR="00722367" w:rsidRDefault="00722367">
      <w:pPr>
        <w:spacing w:line="288" w:lineRule="exact"/>
        <w:jc w:val="center"/>
      </w:pPr>
    </w:p>
    <w:p w:rsidR="00722367" w:rsidRDefault="00722367">
      <w:pPr>
        <w:spacing w:line="288" w:lineRule="exact"/>
        <w:jc w:val="center"/>
      </w:pPr>
    </w:p>
    <w:p w:rsidR="00722367" w:rsidRDefault="00722367"/>
    <w:p w:rsidR="00E46BCC" w:rsidRDefault="00722367">
      <w:pPr>
        <w:spacing w:line="288" w:lineRule="exact"/>
        <w:jc w:val="center"/>
        <w:sectPr w:rsidR="00E46BCC" w:rsidSect="00E46BCC">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12/12/2018</w:t>
      </w:r>
      <w:proofErr w:type="gramEnd"/>
    </w:p>
    <w:p w:rsidR="00722367" w:rsidRDefault="00722367">
      <w:pPr>
        <w:spacing w:line="288" w:lineRule="exact"/>
        <w:jc w:val="center"/>
      </w:pPr>
    </w:p>
    <w:p w:rsidR="00722367" w:rsidRDefault="00722367">
      <w:pPr>
        <w:spacing w:line="288" w:lineRule="exact"/>
        <w:jc w:val="center"/>
      </w:pPr>
      <w:r>
        <w:rPr>
          <w:b/>
        </w:rPr>
        <w:t>BİRİNCİ BÖLÜM</w:t>
      </w:r>
    </w:p>
    <w:p w:rsidR="00722367" w:rsidRDefault="00722367">
      <w:pPr>
        <w:spacing w:line="288" w:lineRule="exact"/>
        <w:jc w:val="center"/>
      </w:pPr>
    </w:p>
    <w:p w:rsidR="00722367" w:rsidRDefault="00722367">
      <w:pPr>
        <w:spacing w:line="288" w:lineRule="exact"/>
        <w:jc w:val="center"/>
      </w:pPr>
    </w:p>
    <w:p w:rsidR="00722367" w:rsidRDefault="00722367">
      <w:pPr>
        <w:spacing w:line="288" w:lineRule="exact"/>
        <w:jc w:val="center"/>
      </w:pPr>
      <w:r>
        <w:rPr>
          <w:b/>
        </w:rPr>
        <w:t>KARAR</w:t>
      </w:r>
    </w:p>
    <w:p w:rsidR="00722367" w:rsidRDefault="00722367">
      <w:pPr>
        <w:spacing w:line="288" w:lineRule="exact"/>
        <w:ind w:firstLine="829"/>
      </w:pPr>
    </w:p>
    <w:p w:rsidR="00722367" w:rsidRDefault="00722367">
      <w:pPr>
        <w:spacing w:line="288" w:lineRule="exact"/>
        <w:ind w:firstLine="829"/>
      </w:pPr>
    </w:p>
    <w:p w:rsidR="00722367" w:rsidRDefault="00722367">
      <w:pPr>
        <w:spacing w:line="288" w:lineRule="exact"/>
        <w:ind w:firstLine="829"/>
      </w:pPr>
    </w:p>
    <w:p w:rsidR="00722367" w:rsidRDefault="00722367">
      <w:pPr>
        <w:pStyle w:val="edf1393440552765"/>
        <w:tabs>
          <w:tab w:val="left" w:pos="2880"/>
          <w:tab w:val="left" w:pos="3020"/>
        </w:tabs>
        <w:spacing w:after="100" w:line="288" w:lineRule="exact"/>
        <w:ind w:firstLine="857"/>
        <w:jc w:val="both"/>
        <w:rPr>
          <w:b/>
        </w:rPr>
      </w:pPr>
      <w:r>
        <w:rPr>
          <w:b/>
        </w:rPr>
        <w:t>Başkan</w:t>
      </w:r>
      <w:r>
        <w:tab/>
      </w:r>
      <w:r>
        <w:rPr>
          <w:b/>
        </w:rPr>
        <w:t>:</w:t>
      </w:r>
      <w:r>
        <w:tab/>
        <w:t>Burhan ÜSTÜN</w:t>
      </w:r>
    </w:p>
    <w:p w:rsidR="00722367" w:rsidRDefault="00722367">
      <w:pPr>
        <w:pStyle w:val="edf1393440552765"/>
        <w:tabs>
          <w:tab w:val="left" w:pos="2880"/>
          <w:tab w:val="left" w:pos="3020"/>
        </w:tabs>
        <w:spacing w:after="100" w:line="288" w:lineRule="exact"/>
        <w:ind w:firstLine="857"/>
        <w:jc w:val="both"/>
      </w:pPr>
      <w:r>
        <w:rPr>
          <w:b/>
        </w:rPr>
        <w:t>Üyeler</w:t>
      </w:r>
      <w:r>
        <w:tab/>
      </w:r>
      <w:r>
        <w:rPr>
          <w:b/>
        </w:rPr>
        <w:t>:</w:t>
      </w:r>
      <w:r>
        <w:tab/>
        <w:t>Serdar ÖZGÜLDÜR</w:t>
      </w:r>
    </w:p>
    <w:p w:rsidR="00722367" w:rsidRDefault="00722367">
      <w:pPr>
        <w:pStyle w:val="edf1393440552765"/>
        <w:tabs>
          <w:tab w:val="left" w:pos="2880"/>
          <w:tab w:val="left" w:pos="3020"/>
        </w:tabs>
        <w:spacing w:after="100" w:line="288" w:lineRule="exact"/>
        <w:ind w:firstLine="857"/>
        <w:jc w:val="both"/>
      </w:pPr>
      <w:r>
        <w:tab/>
      </w:r>
      <w:r>
        <w:tab/>
      </w:r>
      <w:proofErr w:type="spellStart"/>
      <w:r>
        <w:t>Hicabi</w:t>
      </w:r>
      <w:proofErr w:type="spellEnd"/>
      <w:r>
        <w:t xml:space="preserve"> DURSUN</w:t>
      </w:r>
    </w:p>
    <w:p w:rsidR="00722367" w:rsidRDefault="00722367">
      <w:pPr>
        <w:pStyle w:val="edf1393440552765"/>
        <w:tabs>
          <w:tab w:val="left" w:pos="2880"/>
          <w:tab w:val="left" w:pos="3020"/>
        </w:tabs>
        <w:spacing w:after="100" w:line="288" w:lineRule="exact"/>
        <w:ind w:firstLine="857"/>
        <w:jc w:val="both"/>
      </w:pPr>
      <w:r>
        <w:tab/>
      </w:r>
      <w:r>
        <w:tab/>
        <w:t>Hasan Tahsin GÖKCAN</w:t>
      </w:r>
    </w:p>
    <w:p w:rsidR="00722367" w:rsidRDefault="00722367">
      <w:pPr>
        <w:pStyle w:val="edf1393440552765"/>
        <w:tabs>
          <w:tab w:val="left" w:pos="2880"/>
          <w:tab w:val="left" w:pos="3020"/>
        </w:tabs>
        <w:spacing w:after="100" w:line="288" w:lineRule="exact"/>
        <w:ind w:firstLine="857"/>
        <w:jc w:val="both"/>
        <w:rPr>
          <w:b/>
        </w:rPr>
      </w:pPr>
      <w:r>
        <w:tab/>
      </w:r>
      <w:r>
        <w:tab/>
        <w:t>Yusuf Şevki HAKYEMEZ</w:t>
      </w:r>
    </w:p>
    <w:p w:rsidR="00722367" w:rsidRDefault="00722367">
      <w:pPr>
        <w:spacing w:after="100" w:line="288" w:lineRule="exact"/>
        <w:ind w:firstLine="857"/>
        <w:jc w:val="both"/>
        <w:rPr>
          <w:b/>
        </w:rPr>
      </w:pPr>
      <w:r>
        <w:rPr>
          <w:b/>
        </w:rPr>
        <w:t xml:space="preserve">Raportör </w:t>
      </w:r>
      <w:r w:rsidR="00E46BCC">
        <w:rPr>
          <w:b/>
        </w:rPr>
        <w:tab/>
      </w:r>
      <w:r>
        <w:rPr>
          <w:b/>
        </w:rPr>
        <w:t xml:space="preserve">: </w:t>
      </w:r>
      <w:r>
        <w:t>Eşref Uğur ŞENOL</w:t>
      </w:r>
    </w:p>
    <w:p w:rsidR="00722367" w:rsidRDefault="00722367">
      <w:pPr>
        <w:pStyle w:val="edf1450278888505"/>
        <w:spacing w:after="100" w:line="288" w:lineRule="exact"/>
        <w:ind w:firstLine="857"/>
        <w:jc w:val="both"/>
      </w:pPr>
      <w:r>
        <w:rPr>
          <w:b/>
        </w:rPr>
        <w:t>Başvurucular</w:t>
      </w:r>
      <w:r>
        <w:tab/>
      </w:r>
      <w:r>
        <w:rPr>
          <w:b/>
        </w:rPr>
        <w:t xml:space="preserve">: </w:t>
      </w:r>
      <w:r>
        <w:t xml:space="preserve">1. Ahmet ÇULLU </w:t>
      </w:r>
    </w:p>
    <w:p w:rsidR="00722367" w:rsidRDefault="00722367">
      <w:pPr>
        <w:pStyle w:val="edf1450278888505"/>
        <w:tabs>
          <w:tab w:val="left" w:pos="2880"/>
        </w:tabs>
        <w:spacing w:after="100" w:line="288" w:lineRule="exact"/>
        <w:ind w:firstLine="857"/>
        <w:jc w:val="both"/>
        <w:rPr>
          <w:b/>
        </w:rPr>
      </w:pPr>
      <w:r>
        <w:tab/>
        <w:t xml:space="preserve">  2.</w:t>
      </w:r>
      <w:r>
        <w:rPr>
          <w:b/>
        </w:rPr>
        <w:t xml:space="preserve"> </w:t>
      </w:r>
      <w:r>
        <w:t xml:space="preserve">Fazilet OKURER </w:t>
      </w:r>
    </w:p>
    <w:p w:rsidR="00722367" w:rsidRDefault="00722367">
      <w:pPr>
        <w:pStyle w:val="edf1450278888505"/>
        <w:tabs>
          <w:tab w:val="left" w:pos="2880"/>
        </w:tabs>
        <w:spacing w:after="100" w:line="288" w:lineRule="exact"/>
        <w:ind w:firstLine="857"/>
        <w:jc w:val="both"/>
      </w:pPr>
      <w:r>
        <w:rPr>
          <w:b/>
        </w:rPr>
        <w:t>Vekili</w:t>
      </w:r>
      <w:r>
        <w:tab/>
      </w:r>
      <w:r>
        <w:rPr>
          <w:b/>
        </w:rPr>
        <w:t xml:space="preserve">: </w:t>
      </w:r>
      <w:r>
        <w:t>Av. Erhan KAMACI</w:t>
      </w:r>
    </w:p>
    <w:p w:rsidR="00722367" w:rsidRDefault="00722367">
      <w:pPr>
        <w:pStyle w:val="edf1450278888505"/>
        <w:spacing w:after="100" w:line="288" w:lineRule="exact"/>
        <w:ind w:firstLine="857"/>
        <w:jc w:val="both"/>
      </w:pPr>
    </w:p>
    <w:p w:rsidR="00722367" w:rsidRDefault="00722367">
      <w:pPr>
        <w:pStyle w:val="edf1450278888505"/>
        <w:tabs>
          <w:tab w:val="left" w:pos="1280"/>
        </w:tabs>
        <w:spacing w:line="288" w:lineRule="exact"/>
        <w:ind w:firstLine="857"/>
        <w:jc w:val="both"/>
      </w:pPr>
      <w:r>
        <w:rPr>
          <w:b/>
        </w:rPr>
        <w:t>I.</w:t>
      </w:r>
      <w:r>
        <w:tab/>
      </w:r>
      <w:r>
        <w:rPr>
          <w:b/>
        </w:rPr>
        <w:t>BAŞVURUNUN KONUSU</w:t>
      </w:r>
    </w:p>
    <w:p w:rsidR="00722367" w:rsidRDefault="00722367">
      <w:pPr>
        <w:pStyle w:val="edf1450279197849"/>
        <w:tabs>
          <w:tab w:val="left" w:pos="1280"/>
        </w:tabs>
        <w:spacing w:line="288" w:lineRule="exact"/>
        <w:ind w:firstLine="857"/>
        <w:jc w:val="both"/>
      </w:pPr>
    </w:p>
    <w:p w:rsidR="00722367" w:rsidRDefault="00722367">
      <w:pPr>
        <w:pStyle w:val="edf1450279197849"/>
        <w:tabs>
          <w:tab w:val="left" w:pos="1280"/>
        </w:tabs>
        <w:spacing w:line="288" w:lineRule="exact"/>
        <w:ind w:firstLine="857"/>
        <w:jc w:val="both"/>
      </w:pPr>
      <w:r>
        <w:t>1.</w:t>
      </w:r>
      <w:r>
        <w:tab/>
        <w:t>Başvuru, taşınmazın imar planında kamu hizmeti alanına ayrılması nedeniyle mülkiyet hakkının ihlal edildiği iddiasına ilişkindir.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II.</w:t>
      </w:r>
      <w:r>
        <w:tab/>
      </w:r>
      <w:r>
        <w:rPr>
          <w:b/>
        </w:rPr>
        <w:t>BAŞVURU SÜRECİ</w:t>
      </w:r>
    </w:p>
    <w:p w:rsidR="00722367" w:rsidRDefault="00722367">
      <w:pPr>
        <w:tabs>
          <w:tab w:val="left" w:pos="1280"/>
        </w:tabs>
        <w:spacing w:line="288" w:lineRule="exact"/>
        <w:ind w:firstLine="857"/>
        <w:jc w:val="both"/>
      </w:pPr>
    </w:p>
    <w:p w:rsidR="00722367" w:rsidRDefault="00722367">
      <w:pPr>
        <w:pStyle w:val="edf1363590918387"/>
        <w:spacing w:line="288" w:lineRule="exact"/>
        <w:ind w:firstLine="857"/>
        <w:jc w:val="both"/>
      </w:pPr>
      <w:r>
        <w:t>2. Ekli tabloda sıralanan başvurulara ait başvuru formu ve eklerinin idari yönden yapılan ön incelemelerinden sonra başvurular Komisyonlara sunulmuştur.</w:t>
      </w:r>
    </w:p>
    <w:p w:rsidR="00722367" w:rsidRDefault="00722367">
      <w:pPr>
        <w:pStyle w:val="edf1363590918387"/>
        <w:spacing w:line="288" w:lineRule="exact"/>
        <w:ind w:firstLine="857"/>
        <w:jc w:val="both"/>
      </w:pPr>
    </w:p>
    <w:p w:rsidR="00722367" w:rsidRDefault="00722367">
      <w:pPr>
        <w:tabs>
          <w:tab w:val="left" w:pos="1280"/>
        </w:tabs>
        <w:spacing w:line="288" w:lineRule="exact"/>
        <w:ind w:firstLine="857"/>
        <w:jc w:val="both"/>
      </w:pPr>
      <w:r>
        <w:t>3.</w:t>
      </w:r>
      <w:r>
        <w:tab/>
        <w:t xml:space="preserve">Komisyonca başvuruların kabul edilebilirlik incelemesinin Bölüm tarafından yapılmasına karar verilmiştir. </w:t>
      </w:r>
    </w:p>
    <w:p w:rsidR="00722367" w:rsidRDefault="00722367">
      <w:pPr>
        <w:tabs>
          <w:tab w:val="left" w:pos="1260"/>
          <w:tab w:val="left" w:pos="1280"/>
        </w:tabs>
        <w:spacing w:line="288" w:lineRule="exact"/>
        <w:ind w:firstLine="857"/>
        <w:jc w:val="both"/>
      </w:pPr>
    </w:p>
    <w:p w:rsidR="00722367" w:rsidRDefault="00722367">
      <w:pPr>
        <w:tabs>
          <w:tab w:val="left" w:pos="1260"/>
          <w:tab w:val="left" w:pos="1280"/>
        </w:tabs>
        <w:spacing w:line="288" w:lineRule="exact"/>
        <w:ind w:firstLine="857"/>
        <w:jc w:val="both"/>
      </w:pPr>
      <w:r>
        <w:t>4.</w:t>
      </w:r>
      <w:r>
        <w:tab/>
        <w:t>Bölüm Başkanı tarafından başvuruların kabul edilebilirlik ve esas incelemesinin birlikte yapılmasına karar verilmiştir.</w:t>
      </w:r>
    </w:p>
    <w:p w:rsidR="00722367" w:rsidRDefault="00722367">
      <w:pPr>
        <w:tabs>
          <w:tab w:val="left" w:pos="1260"/>
          <w:tab w:val="left" w:pos="1280"/>
        </w:tabs>
        <w:spacing w:line="288" w:lineRule="exact"/>
        <w:ind w:firstLine="857"/>
        <w:jc w:val="both"/>
      </w:pPr>
    </w:p>
    <w:p w:rsidR="00722367" w:rsidRDefault="00722367">
      <w:pPr>
        <w:tabs>
          <w:tab w:val="left" w:pos="1280"/>
        </w:tabs>
        <w:spacing w:line="288" w:lineRule="exact"/>
        <w:ind w:firstLine="857"/>
        <w:jc w:val="both"/>
      </w:pPr>
      <w:r>
        <w:t>5.</w:t>
      </w:r>
      <w:r w:rsidR="00E46BCC">
        <w:tab/>
      </w:r>
      <w:r>
        <w:t>Konularının aynı olması nedeniyle 2018/5992 sayılı bireysel başvuru dosyasının 2018/5938 numaralı bireysel başvuru dosyası ile birleştirilmesine ve incelemenin bu dosya üzerinden yapılmasına karar verilmiştir.</w:t>
      </w:r>
    </w:p>
    <w:p w:rsidR="00722367" w:rsidRDefault="00722367">
      <w:pPr>
        <w:tabs>
          <w:tab w:val="left" w:pos="1280"/>
        </w:tabs>
        <w:spacing w:line="288" w:lineRule="exact"/>
        <w:ind w:firstLine="857"/>
        <w:jc w:val="both"/>
      </w:pPr>
    </w:p>
    <w:p w:rsidR="00722367" w:rsidRDefault="00722367">
      <w:pPr>
        <w:tabs>
          <w:tab w:val="left" w:pos="1280"/>
        </w:tabs>
        <w:spacing w:before="57" w:line="288" w:lineRule="exact"/>
        <w:ind w:firstLine="857"/>
        <w:jc w:val="both"/>
      </w:pPr>
      <w:r>
        <w:t>6.</w:t>
      </w:r>
      <w:r>
        <w:tab/>
        <w:t xml:space="preserve">Başvuru belgelerinin bir örneği bilgi için Adalet Bakanlığına (Bakanlık) gönderilmiştir. Anayasa Mahkemesi </w:t>
      </w:r>
      <w:proofErr w:type="spellStart"/>
      <w:r>
        <w:t>İçtüzüğü'nün</w:t>
      </w:r>
      <w:proofErr w:type="spellEnd"/>
      <w:r>
        <w:t xml:space="preserve"> (İçtüzük) 71. maddesinin (2) numaralı fıkrası uyarınca başvurunun içtihadın oluştuğu alana ilişkin olduğu değerlendirilerek Bakanlık cevabı beklenmeden incelenmesine karar verilmiştir.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III.</w:t>
      </w:r>
      <w:r>
        <w:tab/>
      </w:r>
      <w:r>
        <w:rPr>
          <w:b/>
        </w:rPr>
        <w:t xml:space="preserve">OLAY VE OLGULAR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7.</w:t>
      </w:r>
      <w:r>
        <w:tab/>
        <w:t>Başvuru formu ve eklerinde ifade edildiği şekliyle olaylar özetle şöyledir:</w:t>
      </w:r>
    </w:p>
    <w:p w:rsidR="00E46BCC" w:rsidRDefault="00E46BCC">
      <w:pPr>
        <w:tabs>
          <w:tab w:val="left" w:pos="1280"/>
        </w:tabs>
        <w:spacing w:line="288" w:lineRule="exact"/>
        <w:ind w:firstLine="857"/>
        <w:jc w:val="both"/>
      </w:pPr>
    </w:p>
    <w:p w:rsidR="00722367" w:rsidRDefault="00722367">
      <w:pPr>
        <w:tabs>
          <w:tab w:val="left" w:pos="1280"/>
        </w:tabs>
        <w:spacing w:line="288" w:lineRule="exact"/>
        <w:ind w:firstLine="857"/>
        <w:jc w:val="both"/>
      </w:pPr>
      <w:r>
        <w:lastRenderedPageBreak/>
        <w:t>8.</w:t>
      </w:r>
      <w:r>
        <w:tab/>
        <w:t xml:space="preserve">Başvurucuların maliki olduğu başvuruya konu taşınmaz 1/1000 ölçekli </w:t>
      </w:r>
      <w:proofErr w:type="gramStart"/>
      <w:r>
        <w:t>revizyon</w:t>
      </w:r>
      <w:proofErr w:type="gramEnd"/>
      <w:r>
        <w:t xml:space="preserve"> uygulama imar planında kamu hizmeti alanına ayrılmıştır. Başvurucular, bu taşınmazın kamulaştırılması istemiyle Belediyeye başvurmuş fakat bu yoldan bir sonuç elde edememişlerdir.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9.</w:t>
      </w:r>
      <w:r>
        <w:tab/>
        <w:t xml:space="preserve">Başvurucular, bunun üzerine imar planında kamu hizmeti alanına ayrılan taşınmazın rayiç bedelinin ödenmesi istemiyle Belediye aleyhine tam yargı davası açmışlardır.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10.</w:t>
      </w:r>
      <w:r>
        <w:tab/>
        <w:t xml:space="preserve">Derece mahkemelerince uyuşmazlığın esası hakkında karar verilmesine yer olmadığına hükmedilmiştir. Kararda, </w:t>
      </w:r>
      <w:proofErr w:type="gramStart"/>
      <w:r>
        <w:t>20/8/2016</w:t>
      </w:r>
      <w:proofErr w:type="gramEnd"/>
      <w:r>
        <w:t xml:space="preserve"> tarihli ve 6745 sayılı Yatırımların Proje Bazında Desteklenmesi ile Bazı Kanun ve Kanun Hükmünde Kararnamelerde Değişiklik Yapılmasına Dair Kanun'la 4/11/1983 tarihli ve 2942 sayılı Kamulaştırma Kanunu'na birtakım hükümler eklendiği vurgulanmıştır. </w:t>
      </w:r>
      <w:proofErr w:type="gramStart"/>
      <w:r>
        <w:t>Bu bağlamda uygulama imar planlarında umumi hizmetlere ve resmî kurumlara ayrılan taşınmazların kamulaştırılması için öngörülen beş yıllık sürenin 2942 sayılı Kanun'a eklenen geçici 11. madde gereğince bu maddenin yürürlüğe girdiği tarihten itibaren başlayacağı ve bu maddenin yürürlüğe girdiği tarihten önce açılan ancak henüz karara bağlanmayan veya kararı kesinleşmeyen davalara da bu madde hükümlerinin uygulanacağı belirtilmiştir.</w:t>
      </w:r>
      <w:proofErr w:type="gramEnd"/>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11.</w:t>
      </w:r>
      <w:r>
        <w:tab/>
        <w:t xml:space="preserve">Başvurucular, nihai kararın tebliği üzerine bireysel başvuruda bulunmuşlardır.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IV.</w:t>
      </w:r>
      <w:r>
        <w:tab/>
      </w:r>
      <w:r>
        <w:rPr>
          <w:b/>
        </w:rPr>
        <w:t>İLGİLİ HUKUK</w:t>
      </w:r>
    </w:p>
    <w:p w:rsidR="00722367" w:rsidRDefault="00722367">
      <w:pPr>
        <w:tabs>
          <w:tab w:val="left" w:pos="1280"/>
        </w:tabs>
        <w:spacing w:line="288" w:lineRule="exact"/>
        <w:ind w:firstLine="857"/>
        <w:jc w:val="both"/>
      </w:pPr>
    </w:p>
    <w:p w:rsidR="00722367" w:rsidRDefault="00722367">
      <w:pPr>
        <w:tabs>
          <w:tab w:val="left" w:pos="1260"/>
        </w:tabs>
        <w:spacing w:line="288" w:lineRule="exact"/>
        <w:ind w:firstLine="857"/>
        <w:jc w:val="both"/>
      </w:pPr>
      <w:r>
        <w:t>12.</w:t>
      </w:r>
      <w:r w:rsidR="00E46BCC">
        <w:tab/>
      </w:r>
      <w:r>
        <w:t xml:space="preserve">Konu ile ilgili hukuk için bkz. </w:t>
      </w:r>
      <w:r>
        <w:rPr>
          <w:i/>
          <w:iCs/>
        </w:rPr>
        <w:t xml:space="preserve">Hüseyin Ünal, </w:t>
      </w:r>
      <w:r>
        <w:t xml:space="preserve">B. No: 2017/24715, </w:t>
      </w:r>
      <w:proofErr w:type="gramStart"/>
      <w:r>
        <w:t>20/9/2018</w:t>
      </w:r>
      <w:proofErr w:type="gramEnd"/>
      <w:r>
        <w:t>, §§ 17-29.</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V.</w:t>
      </w:r>
      <w:r>
        <w:tab/>
      </w:r>
      <w:r>
        <w:rPr>
          <w:b/>
        </w:rPr>
        <w:t>İNCELEME VE GEREKÇE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13.</w:t>
      </w:r>
      <w:r>
        <w:tab/>
        <w:t xml:space="preserve">Mahkemenin </w:t>
      </w:r>
      <w:proofErr w:type="gramStart"/>
      <w:r>
        <w:t>12/12/2018</w:t>
      </w:r>
      <w:proofErr w:type="gramEnd"/>
      <w:r>
        <w:t xml:space="preserve"> tarihinde yapmış olduğu toplantıda başvuru incelenip gereği düşünüldü:</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A.</w:t>
      </w:r>
      <w:r>
        <w:tab/>
      </w:r>
      <w:r>
        <w:rPr>
          <w:b/>
        </w:rPr>
        <w:t>Başvurucuların İddiaları</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14.</w:t>
      </w:r>
      <w:r>
        <w:tab/>
        <w:t>Başvurucular; taşınmazın imar planında kamu hizmeti alanına ayrılmasının mülkiyet hakkına müdahale teşkil ettiğini, bu müdahale sebebiyle taşınmazını dilediği gibi kullanamadığını belirtmişlerdir. Başvurucular, taşınmazının kamulaştırılmamasının mülkiyet hakkının ihlaline yol açtığını ifade etmişlerdir. Başvurucular bunun yanında dava sürecinde yapılan yasal değişikliklerin geriye yürütülmesi nedeniyle adil yargılanma hakkı, eşitlik ilkesi ve hak arama hürriyetinin ihlal edildiğini de ileri sürmüşlerdir.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B.</w:t>
      </w:r>
      <w:r>
        <w:tab/>
      </w:r>
      <w:r>
        <w:rPr>
          <w:b/>
        </w:rPr>
        <w:t>Değerlendirme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15.</w:t>
      </w:r>
      <w:r>
        <w:tab/>
        <w:t>Anayasa'nın</w:t>
      </w:r>
      <w:r>
        <w:rPr>
          <w:i/>
          <w:iCs/>
        </w:rPr>
        <w:t xml:space="preserve"> "Mülkiyet hakkı" </w:t>
      </w:r>
      <w:r>
        <w:t>kenar başlıklı 35. maddesi şöyledir:</w:t>
      </w:r>
    </w:p>
    <w:p w:rsidR="00722367" w:rsidRDefault="00722367">
      <w:pPr>
        <w:tabs>
          <w:tab w:val="left" w:pos="1280"/>
        </w:tabs>
        <w:spacing w:line="288" w:lineRule="exact"/>
        <w:ind w:left="857" w:firstLine="421"/>
        <w:jc w:val="both"/>
      </w:pPr>
    </w:p>
    <w:p w:rsidR="00722367" w:rsidRDefault="00722367">
      <w:pPr>
        <w:tabs>
          <w:tab w:val="left" w:pos="1280"/>
        </w:tabs>
        <w:spacing w:line="288" w:lineRule="exact"/>
        <w:ind w:left="857" w:firstLine="421"/>
        <w:jc w:val="both"/>
      </w:pPr>
      <w:r>
        <w:rPr>
          <w:i/>
          <w:iCs/>
          <w:sz w:val="22"/>
        </w:rPr>
        <w:t>"Herkes, mülkiyet ve miras haklarına sahiptir.</w:t>
      </w:r>
    </w:p>
    <w:p w:rsidR="00722367" w:rsidRDefault="00722367">
      <w:pPr>
        <w:tabs>
          <w:tab w:val="left" w:pos="1280"/>
        </w:tabs>
        <w:spacing w:line="288" w:lineRule="exact"/>
        <w:ind w:left="857" w:firstLine="421"/>
        <w:jc w:val="both"/>
      </w:pPr>
    </w:p>
    <w:p w:rsidR="00722367" w:rsidRDefault="00722367">
      <w:pPr>
        <w:tabs>
          <w:tab w:val="left" w:pos="1280"/>
        </w:tabs>
        <w:spacing w:line="288" w:lineRule="exact"/>
        <w:ind w:left="857" w:firstLine="421"/>
        <w:jc w:val="both"/>
      </w:pPr>
      <w:r>
        <w:rPr>
          <w:i/>
          <w:iCs/>
          <w:sz w:val="22"/>
        </w:rPr>
        <w:t>Bu haklar, ancak kamu yararı amacıyla, kanunla sınırlanabilir.</w:t>
      </w:r>
    </w:p>
    <w:p w:rsidR="00722367" w:rsidRDefault="00722367">
      <w:pPr>
        <w:tabs>
          <w:tab w:val="left" w:pos="1280"/>
        </w:tabs>
        <w:spacing w:line="288" w:lineRule="exact"/>
        <w:ind w:left="857" w:firstLine="421"/>
        <w:jc w:val="both"/>
      </w:pPr>
    </w:p>
    <w:p w:rsidR="00722367" w:rsidRDefault="00722367">
      <w:pPr>
        <w:tabs>
          <w:tab w:val="left" w:pos="1280"/>
        </w:tabs>
        <w:spacing w:line="288" w:lineRule="exact"/>
        <w:ind w:left="857" w:firstLine="421"/>
        <w:jc w:val="both"/>
      </w:pPr>
      <w:r>
        <w:rPr>
          <w:i/>
          <w:iCs/>
          <w:sz w:val="22"/>
        </w:rPr>
        <w:t>Mülkiyet hakkının kullanılması toplum yararına aykırı olamaz."</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lastRenderedPageBreak/>
        <w:t>16.</w:t>
      </w:r>
      <w:r>
        <w:tab/>
        <w:t>Anayasa Mahkemesi, olayların başvurucular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Başvurucular; mülkiyet hakkı dışında adil yargılanma hakkı, eşitlik ilkesi ve hak arama özgürlüğünün ihlal edildiğini ileri sürmektedirler. Ancak somut olayda eşitlik ilkesinin ihlaline yol açabilecek farklı muamelenin varlığı başvurucular tarafından temellendirilmemiştir.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17.</w:t>
      </w:r>
      <w:r w:rsidR="00E46BCC">
        <w:tab/>
      </w:r>
      <w:r>
        <w:t>Diğer taraftan başvurucuların asıl şikâyetinin imar uygulamasında kamu hizmeti alanı olarak ayrılması sebebiyle maliki oldukları taşınmazdan dilediği gibi yararlanamadıklarına, taşınmazı kullanamadıklarına ve onu tasarruf edemediklerine yönelik olduğu anlaşılmakla başvurucuların bütün şikâyetleri mülkiyet hakkının ihlali iddiası kapsamında incelenmiştir.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1.</w:t>
      </w:r>
      <w:r>
        <w:tab/>
      </w:r>
      <w:r>
        <w:rPr>
          <w:b/>
        </w:rPr>
        <w:t>Kabul Edilebilirlik Yönünden</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18.</w:t>
      </w:r>
      <w:r>
        <w:tab/>
        <w:t>Açıkça dayanaktan yoksun olmadığı ve kabul edilemezliğine karar verilmesini gerektirecek başka bir neden de bulunmadığı anlaşılan mülkiyet hakkının ihlal edildiğine ilişkin iddianın kabul edilebilir olduğuna karar verilmesi gerekir.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2.</w:t>
      </w:r>
      <w:r>
        <w:tab/>
      </w:r>
      <w:r>
        <w:rPr>
          <w:b/>
        </w:rPr>
        <w:t>Esas Yönünden</w:t>
      </w:r>
    </w:p>
    <w:p w:rsidR="00722367" w:rsidRDefault="00722367">
      <w:pPr>
        <w:pStyle w:val="edf1450279197849"/>
        <w:tabs>
          <w:tab w:val="left" w:pos="1280"/>
        </w:tabs>
        <w:spacing w:line="288" w:lineRule="exact"/>
        <w:ind w:firstLine="857"/>
        <w:jc w:val="both"/>
      </w:pPr>
    </w:p>
    <w:p w:rsidR="00722367" w:rsidRDefault="00722367">
      <w:pPr>
        <w:tabs>
          <w:tab w:val="left" w:pos="1280"/>
        </w:tabs>
        <w:spacing w:line="288" w:lineRule="exact"/>
        <w:ind w:firstLine="857"/>
        <w:jc w:val="both"/>
      </w:pPr>
      <w:r>
        <w:t>19.</w:t>
      </w:r>
      <w:r>
        <w:tab/>
        <w:t>Anayasa Mahkemesi aynı konu ile ilgili şikâyetleri daha önce incelemiş ve uygulanacak ilkeleri ortaya koymuştur (</w:t>
      </w:r>
      <w:r>
        <w:rPr>
          <w:i/>
          <w:iCs/>
        </w:rPr>
        <w:t xml:space="preserve">Hüseyin Ünal, </w:t>
      </w:r>
      <w:r>
        <w:t>§§ 34-62).</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20.</w:t>
      </w:r>
      <w:r>
        <w:tab/>
      </w:r>
      <w:r>
        <w:rPr>
          <w:i/>
          <w:iCs/>
        </w:rPr>
        <w:t>Hüseyin Ünal</w:t>
      </w:r>
      <w:r>
        <w:t xml:space="preserve"> kararında imar uygulamasına konu edilen taşınmazın, başvurucu adına tapuda kayıtlı olduğundan dolayı Anayasa'nın 35. maddesi bağlamında mülk teşkil ettiği belirtilmiştir (</w:t>
      </w:r>
      <w:r>
        <w:rPr>
          <w:i/>
          <w:iCs/>
        </w:rPr>
        <w:t xml:space="preserve">Hüseyin Ünal, </w:t>
      </w:r>
      <w:r>
        <w:t>§ 37). Bu taşınmazın uygulama imar planında kamu hizmeti alanı olarak ayrılmasının mülkiyet hakkına müdahale teşkil ettiği kabul edilmiş, söz konusu müdahalenin niteliği sebebiyle mülkiyetten barışçıl yararlanmaya ilişkin genel kural çerçevesinde incelenmesi gerektiği değerlendirilmiştir (</w:t>
      </w:r>
      <w:r>
        <w:rPr>
          <w:i/>
          <w:iCs/>
        </w:rPr>
        <w:t xml:space="preserve">Hüseyin Ünal, </w:t>
      </w:r>
      <w:r>
        <w:t>§§ 38-41).</w:t>
      </w:r>
    </w:p>
    <w:p w:rsidR="00722367" w:rsidRDefault="00722367">
      <w:pPr>
        <w:tabs>
          <w:tab w:val="left" w:pos="1280"/>
        </w:tabs>
        <w:spacing w:line="288" w:lineRule="exact"/>
        <w:ind w:firstLine="857"/>
        <w:jc w:val="both"/>
      </w:pPr>
    </w:p>
    <w:p w:rsidR="00722367" w:rsidRDefault="00722367">
      <w:pPr>
        <w:tabs>
          <w:tab w:val="left" w:pos="1260"/>
        </w:tabs>
        <w:spacing w:line="288" w:lineRule="exact"/>
        <w:ind w:firstLine="857"/>
        <w:jc w:val="both"/>
      </w:pPr>
      <w:r>
        <w:t>21.</w:t>
      </w:r>
      <w:r>
        <w:tab/>
        <w:t xml:space="preserve">Anayasa Mahkemesi </w:t>
      </w:r>
      <w:proofErr w:type="gramStart"/>
      <w:r>
        <w:t>3/5/1985</w:t>
      </w:r>
      <w:proofErr w:type="gramEnd"/>
      <w:r>
        <w:t xml:space="preserve"> tarihli ve 3194 sayılı İmar Kanunu hükümleri ile 2942 sayılı Kanun'a eklenen geçici 11. maddeye dayalı olan müdahalenin kanunilik ölçütünü taşıdığını değerlendirmiş, ayrıca taşınmazın kamu hizmetine tahsis edilmesine yönelik müdahalenin kamu yararına dayalı meşru bir amacının bulunduğu açıklanmıştır (</w:t>
      </w:r>
      <w:r>
        <w:rPr>
          <w:i/>
          <w:iCs/>
        </w:rPr>
        <w:t>Hüseyin Ünal</w:t>
      </w:r>
      <w:r>
        <w:t xml:space="preserve">, §§ 44-50). Bununla birlikte Anayasa Mahkemesinin </w:t>
      </w:r>
      <w:proofErr w:type="gramStart"/>
      <w:r>
        <w:t>28/3/2018</w:t>
      </w:r>
      <w:proofErr w:type="gramEnd"/>
      <w:r>
        <w:t xml:space="preserve"> tarihli ve E.2016/196, K.2018/34 sayılı kararı ile anılan madde iptal edilmiştir. Bu çerçevede ölçülülük yönünden yapılan değerlendirmede uygulama imar planının onaylanmasından itibaren beş yıldan fazla süre geçmesine rağmen imar planında kamu hizmetine ayrılan taşınmazın kamulaştırılmaması ve herhangi bir tazminat da ödenmemesinin başvurucuya şahsi olarak aşırı bir külfet yüklediği kanaatine ulaşılmıştır. Bu sebeple başvurucunun mülkiyet hakkının korunması ile kamunun yararı arasında olması gereken adil dengenin başvurucu aleyhine bozulduğu ve müdahalenin ölçülü olmadığı kabul edilmiştir (</w:t>
      </w:r>
      <w:r>
        <w:rPr>
          <w:i/>
          <w:iCs/>
        </w:rPr>
        <w:t>Hüseyin Ünal</w:t>
      </w:r>
      <w:r>
        <w:t>, §§ 51-62).</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22.</w:t>
      </w:r>
      <w:r>
        <w:tab/>
        <w:t>Somut başvuruda da başvuruculara ait taşınmazın uygulama imar planında kamu hizmeti alanına ayrılmasına rağmen beş yılı aşkın bir süreden beri kamulaştırılmadığı ve kendilerine herhangi bir tazminat da ödenmediği dikkate alındığında bu ilkelerden ayrılmayı gerektirir bir durumun söz konusu olmadığı sonucuna varılmıştır. Dolayısıyla başvurucuların mülkiyet hakkına yapılan müdahale ölçülü değildir.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lastRenderedPageBreak/>
        <w:t>23.</w:t>
      </w:r>
      <w:r>
        <w:tab/>
        <w:t>Açıklanan gerekçelerle Anayasa’nın 35. maddesinde güvence altına alınan mülkiyet hakkının ihlal edildiğine karar verilmesi gerekir.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3.</w:t>
      </w:r>
      <w:r>
        <w:tab/>
      </w:r>
      <w:r>
        <w:rPr>
          <w:b/>
        </w:rPr>
        <w:t>6216 Sayılı Kanun'un 50. Maddesi Yönünden</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24.</w:t>
      </w:r>
      <w:r>
        <w:tab/>
      </w:r>
      <w:proofErr w:type="gramStart"/>
      <w:r>
        <w:t>30/3/2011</w:t>
      </w:r>
      <w:proofErr w:type="gramEnd"/>
      <w:r>
        <w:t xml:space="preserve"> tarihli ve 6216 sayılı Anayasa Mahkemesinin Kuruluşu ve Yargılama Usulleri Hakkında Kanun’un 50. maddesinin (1) ve (2) numaralı fıkraları şöyledir:</w:t>
      </w:r>
    </w:p>
    <w:p w:rsidR="00722367" w:rsidRDefault="00722367">
      <w:pPr>
        <w:tabs>
          <w:tab w:val="left" w:pos="1280"/>
        </w:tabs>
        <w:spacing w:line="288" w:lineRule="exact"/>
        <w:ind w:left="841" w:firstLine="461"/>
        <w:jc w:val="both"/>
      </w:pPr>
    </w:p>
    <w:p w:rsidR="00722367" w:rsidRDefault="00722367">
      <w:pPr>
        <w:tabs>
          <w:tab w:val="left" w:pos="1280"/>
        </w:tabs>
        <w:spacing w:line="288" w:lineRule="exact"/>
        <w:ind w:left="841" w:firstLine="461"/>
        <w:jc w:val="both"/>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722367" w:rsidRDefault="00722367">
      <w:pPr>
        <w:tabs>
          <w:tab w:val="left" w:pos="1280"/>
        </w:tabs>
        <w:spacing w:line="288" w:lineRule="exact"/>
        <w:ind w:left="841" w:firstLine="461"/>
        <w:jc w:val="both"/>
      </w:pPr>
    </w:p>
    <w:p w:rsidR="00722367" w:rsidRDefault="00722367">
      <w:pPr>
        <w:tabs>
          <w:tab w:val="left" w:pos="1280"/>
        </w:tabs>
        <w:spacing w:line="288" w:lineRule="exact"/>
        <w:ind w:left="841" w:firstLine="461"/>
        <w:jc w:val="both"/>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722367" w:rsidRDefault="00722367">
      <w:pPr>
        <w:tabs>
          <w:tab w:val="left" w:pos="1280"/>
        </w:tabs>
        <w:spacing w:line="288" w:lineRule="exact"/>
        <w:ind w:firstLine="850"/>
        <w:jc w:val="both"/>
      </w:pPr>
    </w:p>
    <w:p w:rsidR="00722367" w:rsidRDefault="00722367">
      <w:pPr>
        <w:tabs>
          <w:tab w:val="left" w:pos="1280"/>
        </w:tabs>
        <w:spacing w:line="288" w:lineRule="exact"/>
        <w:ind w:firstLine="857"/>
        <w:jc w:val="both"/>
      </w:pPr>
      <w:r>
        <w:t>25.</w:t>
      </w:r>
      <w:r>
        <w:tab/>
        <w:t>Anayasa Mahkemesinin</w:t>
      </w:r>
      <w:r>
        <w:rPr>
          <w:i/>
          <w:iCs/>
        </w:rPr>
        <w:t xml:space="preserve"> Mehmet Doğan </w:t>
      </w:r>
      <w:r>
        <w:t xml:space="preserve">([GK], B. No: 2014/8875, </w:t>
      </w:r>
      <w:proofErr w:type="gramStart"/>
      <w:r>
        <w:t>7/6/2018</w:t>
      </w:r>
      <w:proofErr w:type="gramEnd"/>
      <w:r>
        <w:t>) kararında, ihlal sonucuna varıldığında ihlalin nasıl ortadan kaldırılacağının belirlenmesi hususunda genel ilkeler belirlenmiştir.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26.</w:t>
      </w:r>
      <w:r>
        <w:tab/>
        <w:t>Buna göre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sağlanmasıdır.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w:t>
      </w:r>
      <w:r>
        <w:rPr>
          <w:i/>
          <w:iCs/>
        </w:rPr>
        <w:t xml:space="preserve">Mehmet Doğan, </w:t>
      </w:r>
      <w:r>
        <w:t xml:space="preserve">§ 55).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27.</w:t>
      </w:r>
      <w:r>
        <w:tab/>
        <w:t>Anayasa Mahkemesi ihlalin ve sonuçlarının nasıl giderileceğine hükmederken idarenin, yargısal makamların veya yasama organının yerine geçerek işlem tesis edemez. Anayasa Mahkemesi, ihlalin ve sonuçlarının nasıl giderileceğine hükmederek gerekli işlemlerin tesis edilmesi için kararı ilgili mercilere gönderir (</w:t>
      </w:r>
      <w:r>
        <w:rPr>
          <w:i/>
          <w:iCs/>
        </w:rPr>
        <w:t xml:space="preserve">Mehmet Doğan, </w:t>
      </w:r>
      <w:r>
        <w:t xml:space="preserve">§ 56).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28.</w:t>
      </w:r>
      <w:r>
        <w:tab/>
        <w:t>İhlalin ve sonuçlarının ortadan kaldırılması için yapılması gerekenlere hükmedilmeden önce ihlalin kaynağının belirlenmesi gerekir. Buna göre ihlal; idari eylem ve işlemler, yargısal işlemler veya yasama işlemlerinden kaynaklanabilir. İhlalin kaynağının belirlenmesi uygun giderim yolunun belirlenebilmesi bakımından önem taşımaktadır (</w:t>
      </w:r>
      <w:r>
        <w:rPr>
          <w:i/>
          <w:iCs/>
        </w:rPr>
        <w:t xml:space="preserve">Mehmet Doğan, </w:t>
      </w:r>
      <w:r>
        <w:t>§ 57).</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29.</w:t>
      </w:r>
      <w:r>
        <w:tab/>
        <w:t xml:space="preserve">İhlalin mahkeme kararından kaynaklandığı durumlarda 6216 sayılı Kanun’un 50. maddesinin (2) numaralı fıkrası ile </w:t>
      </w:r>
      <w:proofErr w:type="spellStart"/>
      <w:r>
        <w:t>İçtüzük’ün</w:t>
      </w:r>
      <w:proofErr w:type="spellEnd"/>
      <w:r>
        <w:t xml:space="preserve"> 79. maddesinin (1) numaralı fıkrasının (a) bendi uyarınca kural olarak ihlali ve sonuçlarını ortadan kaldırmak için yeniden yargılama yapılmak üzere kararın bir örneğinin ilgili mahkemeye gönderilmesine hükmedilir (</w:t>
      </w:r>
      <w:r>
        <w:rPr>
          <w:i/>
          <w:iCs/>
        </w:rPr>
        <w:t xml:space="preserve">Mehmet Doğan, </w:t>
      </w:r>
      <w:r>
        <w:t xml:space="preserve">§ 58).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30.</w:t>
      </w:r>
      <w:r>
        <w:tab/>
        <w:t xml:space="preserve">Buna göre Anayasa Mahkemesince ihlalin tespit edildiği hâllerde yargılamanın yenilenmesinin gerekliliği hususundaki takdir derece mahkemelerine değil ihlalin varlığını </w:t>
      </w:r>
      <w:r>
        <w:lastRenderedPageBreak/>
        <w:t>tespit eden Anayasa Mahkemesine bırakılmıştır. Derece mahkemeleri ise Anayasa Mahkemesinin ihlal kararında belirttiği doğrultuda ihlalin sonuçlarını gidermek üzere gereken işlemleri yapmakla yükümlüdür (</w:t>
      </w:r>
      <w:r>
        <w:rPr>
          <w:i/>
          <w:iCs/>
        </w:rPr>
        <w:t>Mehmet Doğan,</w:t>
      </w:r>
      <w:r>
        <w:t xml:space="preserve"> § 59).</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31.</w:t>
      </w:r>
      <w:r>
        <w:tab/>
        <w:t>Bu bağlamda derece mahkemesinin öncelikle yapması gereken şey, bir temel hak veya özgürlüğü ihlal ettiği veya idari makamlar tarafından bir temel hak veya özgürlüğe yönelik olarak gerçekleştirilen ihlali gideremediği tespit edilen önceki kararını kaldırmaktır. Derece mahkemesi, kararın kaldırılmasından sonraki aşamada ise Anayasa Mahkemesi kararında tespit edilen ihlalin sonuçlarını gidermek için gereken işlemleri yapmak durumundadır (</w:t>
      </w:r>
      <w:r>
        <w:rPr>
          <w:i/>
          <w:iCs/>
        </w:rPr>
        <w:t>Mehmet Doğan,</w:t>
      </w:r>
      <w:r>
        <w:t xml:space="preserve"> § 60).</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32.</w:t>
      </w:r>
      <w:r>
        <w:tab/>
        <w:t>Başvurucular, maddi ve manevi tazminat talebinde bulunmuşlardır.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33.</w:t>
      </w:r>
      <w:r>
        <w:tab/>
        <w:t>Somut olayda başvuruculara ait taşınmaz imar planında kamu hizmeti alanına ayrılmıştır. Başvurucuların açmış olduğu tazminat davasında derece mahkemeleri, dava açıldıktan sonra yürürlüğe giren kanun maddesini gerekçe göstererek dava hakkında karar verilmesine yer olmadığına karar vermiştir. Sonuç olarak müdahalenin temeli olan taşınmazın imar planında kamu hizmetine ayrılması idari bir işlem niteliğindedir. Başvurucuların mülkiyet hakkının idari bir işlem nedeniyle ihlal edildiği anlaşılmaktadır. Ancak somut olayda ihlale yol açan idari eylem ve işleme karşı başvurulabilecek kanun yolu tüketildikten sonra bireysel başvurunun yapıldığı anlaşıldığına göre ilgili mahkemenin yeniden yargılama yoluyla tespit edilen ihlali ve sonuçlarını ortadan kaldırma imkânı bulunmaktadır.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34.</w:t>
      </w:r>
      <w:r>
        <w:tab/>
        <w:t>Bu durumda mülkiyet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kapsamda derece mahkemelerince yapılması gereken iş, ihlal sonucuna uygun olarak tazminata hükmedilmesinden ibarettir. Tazminat miktarının belirlenmesi hususu ise bu konuda uzmanlaşmış derece mahkemelerinin takdirindedir. Bu sebeple kararın bir örneğinin yeniden yargılama yapılmak üzere ilk derece mahkemesine gönderilmesine karar verilmesi gerekir.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35.</w:t>
      </w:r>
      <w:r>
        <w:tab/>
        <w:t xml:space="preserve">Yeniden yargılama yapılmak üzere dosyanın yetkili yargı merciine gönderilmesine karar verilmesinin ihlal sonucu açısından yeterli bir giderim sağladığı anlaşıldığından başvurucuların tazminat taleplerinin reddine karar verilmesi gerekir.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36.</w:t>
      </w:r>
      <w:r>
        <w:tab/>
        <w:t>Dosyadaki belgelerden tespit edilen ekli tabloda belirtilen harçların ayrı ayrı olmak üzere; ayrıca</w:t>
      </w:r>
      <w:r>
        <w:rPr>
          <w:b/>
        </w:rPr>
        <w:t xml:space="preserve"> </w:t>
      </w:r>
      <w:r>
        <w:t>1.980</w:t>
      </w:r>
      <w:r>
        <w:rPr>
          <w:b/>
        </w:rPr>
        <w:t xml:space="preserve"> </w:t>
      </w:r>
      <w:r>
        <w:t>TL vekâlet ücretinin de başvuruculara müştereken ödenmesine karar verilmesi gerekir.</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rPr>
          <w:b/>
        </w:rPr>
        <w:t>VI.</w:t>
      </w:r>
      <w:r>
        <w:tab/>
      </w:r>
      <w:r>
        <w:rPr>
          <w:b/>
        </w:rPr>
        <w:t>HÜKÜM</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Açıklanan gerekçelerle;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A.</w:t>
      </w:r>
      <w:r>
        <w:tab/>
        <w:t>Mülkiyet hakkının ihlal edildiğine ilişkin iddianın KABUL EDİLEBİLİR OLDUĞUNA,</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B.</w:t>
      </w:r>
      <w:r>
        <w:tab/>
        <w:t>Anayasa’nın 35. maddesinde güvence altına alınan mülkiyet hakkının İHLAL EDİLDİĞİNE,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lastRenderedPageBreak/>
        <w:t>C.</w:t>
      </w:r>
      <w:r>
        <w:tab/>
        <w:t>Kararın bir örneğinin mülkiyet hakkının ihlalinin sonuçlarının ortadan kaldırılması için yeniden yargılama yapılmak üzere ekli tabloda belirtilen mahkemelere GÖNDERİLMESİNE,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D.</w:t>
      </w:r>
      <w:r>
        <w:tab/>
        <w:t>Başvurucuların tazminat taleplerinin REDDİNE,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E.</w:t>
      </w:r>
      <w:r>
        <w:tab/>
        <w:t>Ekli tabloda belirtilen harçların BAŞVURUCULARA AYRI AYRI ÖDENMESİNE,</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F. 1.980</w:t>
      </w:r>
      <w:r>
        <w:rPr>
          <w:b/>
        </w:rPr>
        <w:t xml:space="preserve"> </w:t>
      </w:r>
      <w:r>
        <w:t xml:space="preserve">TL vekâlet ücretinin BAŞVURUCULARA </w:t>
      </w:r>
      <w:proofErr w:type="gramStart"/>
      <w:r>
        <w:t>MÜŞTEREKEN  ÖDENMESİNE</w:t>
      </w:r>
      <w:proofErr w:type="gramEnd"/>
      <w:r>
        <w:t xml:space="preserve">, </w:t>
      </w:r>
    </w:p>
    <w:p w:rsidR="00722367" w:rsidRDefault="00722367">
      <w:pPr>
        <w:tabs>
          <w:tab w:val="left" w:pos="1280"/>
        </w:tabs>
        <w:spacing w:line="288" w:lineRule="exact"/>
        <w:ind w:firstLine="857"/>
        <w:jc w:val="both"/>
      </w:pPr>
    </w:p>
    <w:p w:rsidR="00722367" w:rsidRDefault="00722367">
      <w:pPr>
        <w:tabs>
          <w:tab w:val="left" w:pos="1280"/>
        </w:tabs>
        <w:spacing w:line="288" w:lineRule="exact"/>
        <w:ind w:firstLine="857"/>
        <w:jc w:val="both"/>
      </w:pPr>
      <w:r>
        <w:t>G.</w:t>
      </w:r>
      <w:r>
        <w:tab/>
        <w:t>Ödemenin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722367" w:rsidRDefault="00722367">
      <w:pPr>
        <w:tabs>
          <w:tab w:val="left" w:pos="1280"/>
        </w:tabs>
        <w:spacing w:line="288" w:lineRule="exact"/>
        <w:ind w:firstLine="857"/>
        <w:jc w:val="both"/>
      </w:pPr>
    </w:p>
    <w:p w:rsidR="00E46BCC" w:rsidRDefault="00722367" w:rsidP="00E46BCC">
      <w:pPr>
        <w:tabs>
          <w:tab w:val="left" w:pos="1280"/>
        </w:tabs>
        <w:spacing w:line="288" w:lineRule="exact"/>
        <w:ind w:firstLine="857"/>
        <w:jc w:val="both"/>
      </w:pPr>
      <w:r>
        <w:t>H.</w:t>
      </w:r>
      <w:r>
        <w:tab/>
        <w:t>Kararın bir örneğinin Adalet Bakanlığına GÖNDERİLMESİNE 12/12/2018 tarihinde OYBİRLİĞİYLE karar verildi.</w:t>
      </w:r>
      <w:bookmarkStart w:id="0" w:name="_GoBack"/>
      <w:bookmarkEnd w:id="0"/>
    </w:p>
    <w:p w:rsidR="00722367" w:rsidRDefault="00722367">
      <w:pPr>
        <w:pStyle w:val="edf1393440552765"/>
        <w:spacing w:line="288" w:lineRule="exact"/>
        <w:ind w:firstLine="857"/>
        <w:jc w:val="both"/>
      </w:pPr>
      <w:r>
        <w:t xml:space="preserve"> </w:t>
      </w:r>
    </w:p>
    <w:sectPr w:rsidR="00722367" w:rsidSect="00E46BC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3923" w:rsidRDefault="00663923">
      <w:r>
        <w:separator/>
      </w:r>
    </w:p>
  </w:endnote>
  <w:endnote w:type="continuationSeparator" w:id="0">
    <w:p w:rsidR="00663923" w:rsidRDefault="006639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2367" w:rsidRDefault="0072236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E46BCC">
      <w:rPr>
        <w:noProof/>
        <w:color w:val="000000"/>
        <w:sz w:val="22"/>
      </w:rPr>
      <w:t>6</w:t>
    </w:r>
    <w:r>
      <w:rPr>
        <w:color w:val="000000"/>
        <w:sz w:val="22"/>
      </w:rPr>
      <w:fldChar w:fldCharType="end"/>
    </w:r>
  </w:p>
  <w:p w:rsidR="00722367" w:rsidRDefault="0072236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3923" w:rsidRDefault="00663923">
      <w:r>
        <w:separator/>
      </w:r>
    </w:p>
  </w:footnote>
  <w:footnote w:type="continuationSeparator" w:id="0">
    <w:p w:rsidR="00663923" w:rsidRDefault="006639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2367" w:rsidRDefault="00722367">
    <w:pPr>
      <w:pStyle w:val="stbilgi"/>
      <w:tabs>
        <w:tab w:val="left" w:pos="2020"/>
      </w:tabs>
      <w:spacing w:line="288" w:lineRule="exact"/>
    </w:pPr>
    <w:r>
      <w:t>Başvuru Numarası</w:t>
    </w:r>
    <w:r>
      <w:tab/>
      <w:t>: 2018/5938</w:t>
    </w:r>
  </w:p>
  <w:p w:rsidR="00722367" w:rsidRDefault="00722367" w:rsidP="00E46BCC">
    <w:pPr>
      <w:pStyle w:val="stbilgi"/>
      <w:tabs>
        <w:tab w:val="left" w:pos="2020"/>
      </w:tabs>
      <w:spacing w:line="288" w:lineRule="exact"/>
    </w:pPr>
    <w:r>
      <w:t xml:space="preserve">Karar </w:t>
    </w:r>
    <w:r w:rsidR="00E46BCC">
      <w:t>Tarihi</w:t>
    </w:r>
    <w:r w:rsidR="00E46BCC">
      <w:tab/>
    </w:r>
    <w:r>
      <w:t xml:space="preserve">: </w:t>
    </w:r>
    <w:proofErr w:type="gramStart"/>
    <w:r>
      <w:t>12/12/2018</w:t>
    </w:r>
    <w:proofErr w:type="gramEnd"/>
  </w:p>
  <w:p w:rsidR="00E46BCC" w:rsidRDefault="00E46BCC" w:rsidP="00E46BC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56D"/>
    <w:rsid w:val="0002056D"/>
    <w:rsid w:val="00663923"/>
    <w:rsid w:val="00722367"/>
    <w:rsid w:val="00AC222C"/>
    <w:rsid w:val="00E46B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837BCB33-94AD-4B33-BE23-75B12EDFC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5131553531">
    <w:name w:val="edf_143513155353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503496120220">
    <w:name w:val="edf_1503496120220"/>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67307257646">
    <w:name w:val="edf_136730725764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2080</Words>
  <Characters>11859</Characters>
  <Application>Microsoft Office Word</Application>
  <DocSecurity>0</DocSecurity>
  <Lines>98</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2019-07-04T12:31:00Z</dcterms:created>
  <dcterms:modified xsi:type="dcterms:W3CDTF">2019-12-19T12:23:00Z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