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0D313E" w:rsidRDefault="000D313E" w:rsidP="000D313E">
      <w:pPr>
        <w:widowControl/>
        <w:suppressAutoHyphens w:val="0"/>
        <w:spacing w:after="200"/>
        <w:ind w:left="283" w:right="283" w:firstLine="567"/>
        <w:jc w:val="both"/>
        <w:rPr>
          <w:b/>
          <w:color w:val="010000"/>
          <w:sz w:val="28"/>
        </w:rPr>
      </w:pPr>
    </w:p>
    <w:p w:rsidR="000D313E" w:rsidRDefault="000D313E" w:rsidP="000D313E">
      <w:pPr>
        <w:widowControl/>
        <w:suppressAutoHyphens w:val="0"/>
        <w:spacing w:after="200"/>
        <w:ind w:left="283" w:right="283" w:firstLine="567"/>
        <w:jc w:val="both"/>
        <w:rPr>
          <w:b/>
          <w:color w:val="010000"/>
          <w:sz w:val="28"/>
        </w:rPr>
      </w:pPr>
    </w:p>
    <w:p w:rsidR="000D313E" w:rsidRDefault="000D313E" w:rsidP="000D313E">
      <w:pPr>
        <w:widowControl/>
        <w:suppressAutoHyphens w:val="0"/>
        <w:spacing w:after="200"/>
        <w:ind w:left="283" w:right="283" w:firstLine="567"/>
        <w:jc w:val="both"/>
        <w:rPr>
          <w:b/>
          <w:color w:val="010000"/>
          <w:sz w:val="28"/>
        </w:rPr>
      </w:pPr>
    </w:p>
    <w:p w:rsidR="000D313E" w:rsidRDefault="000D313E" w:rsidP="000D313E">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212"/>
      </w:tblGrid>
      <w:tr w:rsidR="000D313E" w:rsidRPr="000D313E" w:rsidTr="000D313E">
        <w:tblPrEx>
          <w:tblCellMar>
            <w:top w:w="0" w:type="dxa"/>
            <w:bottom w:w="0" w:type="dxa"/>
          </w:tblCellMar>
        </w:tblPrEx>
        <w:trPr>
          <w:trHeight w:val="500"/>
          <w:jc w:val="center"/>
        </w:trPr>
        <w:tc>
          <w:tcPr>
            <w:tcW w:w="9212" w:type="dxa"/>
            <w:vAlign w:val="center"/>
          </w:tcPr>
          <w:p w:rsidR="000D313E" w:rsidRPr="000D313E" w:rsidRDefault="000D313E" w:rsidP="000D313E">
            <w:pPr>
              <w:widowControl/>
              <w:suppressAutoHyphens w:val="0"/>
              <w:spacing w:after="200"/>
              <w:ind w:right="283"/>
              <w:jc w:val="center"/>
              <w:rPr>
                <w:b/>
                <w:color w:val="010000"/>
                <w:sz w:val="28"/>
              </w:rPr>
            </w:pPr>
            <w:r>
              <w:rPr>
                <w:b/>
                <w:color w:val="010000"/>
                <w:sz w:val="28"/>
              </w:rPr>
              <w:t>TÜRKİYE CUMHURİYETİ</w:t>
            </w:r>
          </w:p>
        </w:tc>
      </w:tr>
      <w:tr w:rsidR="000D313E" w:rsidRPr="000D313E" w:rsidTr="000D313E">
        <w:tblPrEx>
          <w:tblCellMar>
            <w:top w:w="0" w:type="dxa"/>
            <w:bottom w:w="0" w:type="dxa"/>
          </w:tblCellMar>
        </w:tblPrEx>
        <w:trPr>
          <w:trHeight w:val="500"/>
          <w:jc w:val="center"/>
        </w:trPr>
        <w:tc>
          <w:tcPr>
            <w:tcW w:w="9212" w:type="dxa"/>
            <w:vAlign w:val="center"/>
          </w:tcPr>
          <w:p w:rsidR="000D313E" w:rsidRPr="000D313E" w:rsidRDefault="000D313E" w:rsidP="000D313E">
            <w:pPr>
              <w:widowControl/>
              <w:suppressAutoHyphens w:val="0"/>
              <w:spacing w:after="200"/>
              <w:ind w:right="283"/>
              <w:jc w:val="center"/>
              <w:rPr>
                <w:b/>
                <w:color w:val="010000"/>
                <w:sz w:val="32"/>
              </w:rPr>
            </w:pPr>
            <w:r>
              <w:rPr>
                <w:b/>
                <w:color w:val="010000"/>
                <w:sz w:val="32"/>
              </w:rPr>
              <w:t>ANAYASA MAHKEMESİ</w:t>
            </w:r>
          </w:p>
        </w:tc>
      </w:tr>
      <w:tr w:rsidR="000D313E" w:rsidRPr="000D313E" w:rsidTr="000D313E">
        <w:tblPrEx>
          <w:tblCellMar>
            <w:top w:w="0" w:type="dxa"/>
            <w:bottom w:w="0" w:type="dxa"/>
          </w:tblCellMar>
        </w:tblPrEx>
        <w:trPr>
          <w:trHeight w:val="500"/>
          <w:jc w:val="center"/>
        </w:trPr>
        <w:tc>
          <w:tcPr>
            <w:tcW w:w="9212" w:type="dxa"/>
            <w:vAlign w:val="center"/>
          </w:tcPr>
          <w:p w:rsidR="000D313E" w:rsidRPr="000D313E" w:rsidRDefault="000D313E" w:rsidP="000D313E">
            <w:pPr>
              <w:widowControl/>
              <w:suppressAutoHyphens w:val="0"/>
              <w:spacing w:after="200"/>
              <w:ind w:right="283"/>
              <w:jc w:val="center"/>
              <w:rPr>
                <w:b/>
                <w:color w:val="010000"/>
              </w:rPr>
            </w:pPr>
          </w:p>
        </w:tc>
      </w:tr>
      <w:tr w:rsidR="000D313E" w:rsidRPr="000D313E" w:rsidTr="000D313E">
        <w:tblPrEx>
          <w:tblCellMar>
            <w:top w:w="0" w:type="dxa"/>
            <w:bottom w:w="0" w:type="dxa"/>
          </w:tblCellMar>
        </w:tblPrEx>
        <w:trPr>
          <w:trHeight w:val="500"/>
          <w:jc w:val="center"/>
        </w:trPr>
        <w:tc>
          <w:tcPr>
            <w:tcW w:w="9212" w:type="dxa"/>
            <w:vAlign w:val="center"/>
          </w:tcPr>
          <w:p w:rsidR="000D313E" w:rsidRPr="000D313E" w:rsidRDefault="000D313E" w:rsidP="000D313E">
            <w:pPr>
              <w:widowControl/>
              <w:suppressAutoHyphens w:val="0"/>
              <w:spacing w:after="200"/>
              <w:ind w:right="283"/>
              <w:jc w:val="center"/>
              <w:rPr>
                <w:b/>
                <w:color w:val="010000"/>
              </w:rPr>
            </w:pPr>
          </w:p>
        </w:tc>
      </w:tr>
      <w:tr w:rsidR="000D313E" w:rsidRPr="000D313E" w:rsidTr="000D313E">
        <w:tblPrEx>
          <w:tblCellMar>
            <w:top w:w="0" w:type="dxa"/>
            <w:bottom w:w="0" w:type="dxa"/>
          </w:tblCellMar>
        </w:tblPrEx>
        <w:trPr>
          <w:trHeight w:val="500"/>
          <w:jc w:val="center"/>
        </w:trPr>
        <w:tc>
          <w:tcPr>
            <w:tcW w:w="9212" w:type="dxa"/>
            <w:vAlign w:val="center"/>
          </w:tcPr>
          <w:p w:rsidR="000D313E" w:rsidRPr="000D313E" w:rsidRDefault="000D313E" w:rsidP="000D313E">
            <w:pPr>
              <w:widowControl/>
              <w:suppressAutoHyphens w:val="0"/>
              <w:spacing w:after="200"/>
              <w:ind w:right="283"/>
              <w:jc w:val="center"/>
              <w:rPr>
                <w:b/>
                <w:color w:val="010000"/>
              </w:rPr>
            </w:pPr>
            <w:r>
              <w:rPr>
                <w:b/>
                <w:color w:val="010000"/>
              </w:rPr>
              <w:t>İKİNCİ BÖLÜM</w:t>
            </w:r>
          </w:p>
        </w:tc>
      </w:tr>
      <w:tr w:rsidR="000D313E" w:rsidRPr="000D313E" w:rsidTr="000D313E">
        <w:tblPrEx>
          <w:tblCellMar>
            <w:top w:w="0" w:type="dxa"/>
            <w:bottom w:w="0" w:type="dxa"/>
          </w:tblCellMar>
        </w:tblPrEx>
        <w:trPr>
          <w:trHeight w:val="500"/>
          <w:jc w:val="center"/>
        </w:trPr>
        <w:tc>
          <w:tcPr>
            <w:tcW w:w="9212" w:type="dxa"/>
            <w:vAlign w:val="center"/>
          </w:tcPr>
          <w:p w:rsidR="000D313E" w:rsidRPr="000D313E" w:rsidRDefault="000D313E" w:rsidP="000D313E">
            <w:pPr>
              <w:widowControl/>
              <w:suppressAutoHyphens w:val="0"/>
              <w:spacing w:after="200"/>
              <w:ind w:right="283"/>
              <w:jc w:val="center"/>
              <w:rPr>
                <w:b/>
                <w:color w:val="010000"/>
              </w:rPr>
            </w:pPr>
          </w:p>
        </w:tc>
      </w:tr>
      <w:tr w:rsidR="000D313E" w:rsidRPr="000D313E" w:rsidTr="000D313E">
        <w:tblPrEx>
          <w:tblCellMar>
            <w:top w:w="0" w:type="dxa"/>
            <w:bottom w:w="0" w:type="dxa"/>
          </w:tblCellMar>
        </w:tblPrEx>
        <w:trPr>
          <w:trHeight w:val="500"/>
          <w:jc w:val="center"/>
        </w:trPr>
        <w:tc>
          <w:tcPr>
            <w:tcW w:w="9212" w:type="dxa"/>
            <w:vAlign w:val="center"/>
          </w:tcPr>
          <w:p w:rsidR="000D313E" w:rsidRPr="000D313E" w:rsidRDefault="000D313E" w:rsidP="000D313E">
            <w:pPr>
              <w:widowControl/>
              <w:suppressAutoHyphens w:val="0"/>
              <w:spacing w:after="200"/>
              <w:ind w:right="283"/>
              <w:jc w:val="center"/>
              <w:rPr>
                <w:b/>
                <w:color w:val="010000"/>
              </w:rPr>
            </w:pPr>
            <w:r>
              <w:rPr>
                <w:b/>
                <w:color w:val="010000"/>
              </w:rPr>
              <w:t>KARAR</w:t>
            </w:r>
          </w:p>
        </w:tc>
      </w:tr>
      <w:tr w:rsidR="000D313E" w:rsidRPr="000D313E" w:rsidTr="000D313E">
        <w:tblPrEx>
          <w:tblCellMar>
            <w:top w:w="0" w:type="dxa"/>
            <w:bottom w:w="0" w:type="dxa"/>
          </w:tblCellMar>
        </w:tblPrEx>
        <w:trPr>
          <w:trHeight w:val="500"/>
          <w:jc w:val="center"/>
        </w:trPr>
        <w:tc>
          <w:tcPr>
            <w:tcW w:w="9212" w:type="dxa"/>
            <w:vAlign w:val="center"/>
          </w:tcPr>
          <w:p w:rsidR="000D313E" w:rsidRPr="000D313E" w:rsidRDefault="000D313E" w:rsidP="000D313E">
            <w:pPr>
              <w:widowControl/>
              <w:suppressAutoHyphens w:val="0"/>
              <w:spacing w:after="200"/>
              <w:ind w:right="283"/>
              <w:jc w:val="center"/>
              <w:rPr>
                <w:b/>
                <w:color w:val="010000"/>
              </w:rPr>
            </w:pPr>
          </w:p>
        </w:tc>
      </w:tr>
      <w:tr w:rsidR="000D313E" w:rsidRPr="000D313E" w:rsidTr="000D313E">
        <w:tblPrEx>
          <w:tblCellMar>
            <w:top w:w="0" w:type="dxa"/>
            <w:bottom w:w="0" w:type="dxa"/>
          </w:tblCellMar>
        </w:tblPrEx>
        <w:trPr>
          <w:trHeight w:val="500"/>
          <w:jc w:val="center"/>
        </w:trPr>
        <w:tc>
          <w:tcPr>
            <w:tcW w:w="9212" w:type="dxa"/>
            <w:vAlign w:val="center"/>
          </w:tcPr>
          <w:p w:rsidR="000D313E" w:rsidRPr="000D313E" w:rsidRDefault="000D313E" w:rsidP="000D313E">
            <w:pPr>
              <w:widowControl/>
              <w:suppressAutoHyphens w:val="0"/>
              <w:spacing w:after="200"/>
              <w:ind w:right="283"/>
              <w:jc w:val="center"/>
              <w:rPr>
                <w:b/>
                <w:color w:val="010000"/>
              </w:rPr>
            </w:pPr>
            <w:r>
              <w:rPr>
                <w:b/>
                <w:color w:val="010000"/>
              </w:rPr>
              <w:t>SONER YOZGAT BAŞVURUSU</w:t>
            </w:r>
          </w:p>
        </w:tc>
      </w:tr>
      <w:tr w:rsidR="000D313E" w:rsidRPr="000D313E" w:rsidTr="000D313E">
        <w:tblPrEx>
          <w:tblCellMar>
            <w:top w:w="0" w:type="dxa"/>
            <w:bottom w:w="0" w:type="dxa"/>
          </w:tblCellMar>
        </w:tblPrEx>
        <w:trPr>
          <w:trHeight w:val="500"/>
          <w:jc w:val="center"/>
        </w:trPr>
        <w:tc>
          <w:tcPr>
            <w:tcW w:w="9212" w:type="dxa"/>
            <w:vAlign w:val="center"/>
          </w:tcPr>
          <w:p w:rsidR="000D313E" w:rsidRPr="000D313E" w:rsidRDefault="000D313E" w:rsidP="000D313E">
            <w:pPr>
              <w:widowControl/>
              <w:suppressAutoHyphens w:val="0"/>
              <w:spacing w:after="200"/>
              <w:ind w:right="283"/>
              <w:jc w:val="center"/>
              <w:rPr>
                <w:color w:val="010000"/>
              </w:rPr>
            </w:pPr>
            <w:r>
              <w:rPr>
                <w:color w:val="010000"/>
              </w:rPr>
              <w:t>(Başvuru Numarası: 2019/132)</w:t>
            </w:r>
          </w:p>
        </w:tc>
      </w:tr>
      <w:tr w:rsidR="000D313E" w:rsidRPr="000D313E" w:rsidTr="000D313E">
        <w:tblPrEx>
          <w:tblCellMar>
            <w:top w:w="0" w:type="dxa"/>
            <w:bottom w:w="0" w:type="dxa"/>
          </w:tblCellMar>
        </w:tblPrEx>
        <w:trPr>
          <w:trHeight w:val="500"/>
          <w:jc w:val="center"/>
        </w:trPr>
        <w:tc>
          <w:tcPr>
            <w:tcW w:w="9212" w:type="dxa"/>
            <w:vAlign w:val="center"/>
          </w:tcPr>
          <w:p w:rsidR="000D313E" w:rsidRPr="000D313E" w:rsidRDefault="000D313E" w:rsidP="000D313E">
            <w:pPr>
              <w:widowControl/>
              <w:suppressAutoHyphens w:val="0"/>
              <w:spacing w:after="200"/>
              <w:ind w:right="283"/>
              <w:jc w:val="center"/>
              <w:rPr>
                <w:b/>
                <w:color w:val="010000"/>
              </w:rPr>
            </w:pPr>
          </w:p>
        </w:tc>
      </w:tr>
      <w:tr w:rsidR="000D313E" w:rsidRPr="000D313E" w:rsidTr="000D313E">
        <w:tblPrEx>
          <w:tblCellMar>
            <w:top w:w="0" w:type="dxa"/>
            <w:bottom w:w="0" w:type="dxa"/>
          </w:tblCellMar>
        </w:tblPrEx>
        <w:trPr>
          <w:trHeight w:val="500"/>
          <w:jc w:val="center"/>
        </w:trPr>
        <w:tc>
          <w:tcPr>
            <w:tcW w:w="9212" w:type="dxa"/>
            <w:vAlign w:val="center"/>
          </w:tcPr>
          <w:p w:rsidR="000D313E" w:rsidRPr="000D313E" w:rsidRDefault="000D313E" w:rsidP="000D313E">
            <w:pPr>
              <w:widowControl/>
              <w:suppressAutoHyphens w:val="0"/>
              <w:spacing w:after="200"/>
              <w:ind w:right="283"/>
              <w:jc w:val="center"/>
              <w:rPr>
                <w:color w:val="010000"/>
              </w:rPr>
            </w:pPr>
            <w:r>
              <w:rPr>
                <w:color w:val="010000"/>
              </w:rPr>
              <w:t>Karar Tarihi: 22/9/2022</w:t>
            </w:r>
          </w:p>
        </w:tc>
      </w:tr>
      <w:tr w:rsidR="000D313E" w:rsidRPr="000D313E" w:rsidTr="000D313E">
        <w:tblPrEx>
          <w:tblCellMar>
            <w:top w:w="0" w:type="dxa"/>
            <w:bottom w:w="0" w:type="dxa"/>
          </w:tblCellMar>
        </w:tblPrEx>
        <w:trPr>
          <w:trHeight w:val="500"/>
          <w:jc w:val="center"/>
        </w:trPr>
        <w:tc>
          <w:tcPr>
            <w:tcW w:w="9212" w:type="dxa"/>
            <w:vAlign w:val="center"/>
          </w:tcPr>
          <w:p w:rsidR="000D313E" w:rsidRPr="000D313E" w:rsidRDefault="000D313E" w:rsidP="000D313E">
            <w:pPr>
              <w:widowControl/>
              <w:suppressAutoHyphens w:val="0"/>
              <w:spacing w:after="200"/>
              <w:ind w:right="283"/>
              <w:jc w:val="center"/>
              <w:rPr>
                <w:color w:val="010000"/>
              </w:rPr>
            </w:pPr>
          </w:p>
        </w:tc>
      </w:tr>
      <w:tr w:rsidR="000D313E" w:rsidRPr="000D313E" w:rsidTr="000D313E">
        <w:tblPrEx>
          <w:tblCellMar>
            <w:top w:w="0" w:type="dxa"/>
            <w:bottom w:w="0" w:type="dxa"/>
          </w:tblCellMar>
        </w:tblPrEx>
        <w:trPr>
          <w:trHeight w:val="500"/>
          <w:jc w:val="center"/>
        </w:trPr>
        <w:tc>
          <w:tcPr>
            <w:tcW w:w="9212" w:type="dxa"/>
            <w:vAlign w:val="center"/>
          </w:tcPr>
          <w:p w:rsidR="000D313E" w:rsidRPr="000D313E" w:rsidRDefault="000D313E" w:rsidP="000D313E">
            <w:pPr>
              <w:widowControl/>
              <w:suppressAutoHyphens w:val="0"/>
              <w:spacing w:after="200"/>
              <w:ind w:right="283"/>
              <w:jc w:val="center"/>
              <w:rPr>
                <w:b/>
                <w:color w:val="010000"/>
              </w:rPr>
            </w:pPr>
          </w:p>
        </w:tc>
      </w:tr>
      <w:tr w:rsidR="000D313E" w:rsidRPr="000D313E" w:rsidTr="000D313E">
        <w:tblPrEx>
          <w:tblCellMar>
            <w:top w:w="0" w:type="dxa"/>
            <w:bottom w:w="0" w:type="dxa"/>
          </w:tblCellMar>
        </w:tblPrEx>
        <w:trPr>
          <w:trHeight w:val="500"/>
          <w:jc w:val="center"/>
        </w:trPr>
        <w:tc>
          <w:tcPr>
            <w:tcW w:w="9212" w:type="dxa"/>
            <w:vAlign w:val="center"/>
          </w:tcPr>
          <w:p w:rsidR="000D313E" w:rsidRPr="000D313E" w:rsidRDefault="000D313E" w:rsidP="000D313E">
            <w:pPr>
              <w:widowControl/>
              <w:suppressAutoHyphens w:val="0"/>
              <w:spacing w:after="200"/>
              <w:ind w:right="283"/>
              <w:jc w:val="center"/>
              <w:rPr>
                <w:b/>
                <w:color w:val="010000"/>
              </w:rPr>
            </w:pPr>
          </w:p>
        </w:tc>
      </w:tr>
      <w:tr w:rsidR="000D313E" w:rsidRPr="000D313E" w:rsidTr="000D313E">
        <w:tblPrEx>
          <w:tblCellMar>
            <w:top w:w="0" w:type="dxa"/>
            <w:bottom w:w="0" w:type="dxa"/>
          </w:tblCellMar>
        </w:tblPrEx>
        <w:trPr>
          <w:trHeight w:val="500"/>
          <w:jc w:val="center"/>
        </w:trPr>
        <w:tc>
          <w:tcPr>
            <w:tcW w:w="9212" w:type="dxa"/>
            <w:vAlign w:val="center"/>
          </w:tcPr>
          <w:p w:rsidR="000D313E" w:rsidRPr="000D313E" w:rsidRDefault="000D313E" w:rsidP="000D313E">
            <w:pPr>
              <w:widowControl/>
              <w:suppressAutoHyphens w:val="0"/>
              <w:spacing w:after="200"/>
              <w:ind w:right="283"/>
              <w:jc w:val="center"/>
              <w:rPr>
                <w:b/>
                <w:color w:val="010000"/>
              </w:rPr>
            </w:pPr>
          </w:p>
        </w:tc>
      </w:tr>
      <w:tr w:rsidR="000D313E" w:rsidRPr="000D313E" w:rsidTr="000D313E">
        <w:tblPrEx>
          <w:tblCellMar>
            <w:top w:w="0" w:type="dxa"/>
            <w:bottom w:w="0" w:type="dxa"/>
          </w:tblCellMar>
        </w:tblPrEx>
        <w:trPr>
          <w:trHeight w:val="500"/>
          <w:jc w:val="center"/>
        </w:trPr>
        <w:tc>
          <w:tcPr>
            <w:tcW w:w="9212" w:type="dxa"/>
            <w:vAlign w:val="center"/>
          </w:tcPr>
          <w:p w:rsidR="000D313E" w:rsidRPr="000D313E" w:rsidRDefault="000D313E" w:rsidP="000D313E">
            <w:pPr>
              <w:widowControl/>
              <w:suppressAutoHyphens w:val="0"/>
              <w:spacing w:after="200"/>
              <w:ind w:right="283"/>
              <w:jc w:val="center"/>
              <w:rPr>
                <w:b/>
                <w:color w:val="010000"/>
              </w:rPr>
            </w:pPr>
          </w:p>
        </w:tc>
      </w:tr>
    </w:tbl>
    <w:p w:rsidR="000D313E" w:rsidRDefault="000D313E" w:rsidP="000D313E">
      <w:pPr>
        <w:widowControl/>
        <w:suppressAutoHyphens w:val="0"/>
        <w:spacing w:after="200"/>
        <w:ind w:left="283" w:right="283" w:firstLine="567"/>
        <w:jc w:val="both"/>
        <w:rPr>
          <w:b/>
          <w:color w:val="010000"/>
        </w:rPr>
        <w:sectPr w:rsidR="000D313E" w:rsidSect="000D313E">
          <w:headerReference w:type="default" r:id="rId6"/>
          <w:footerReference w:type="default" r:id="rId7"/>
          <w:pgSz w:w="11906" w:h="16838"/>
          <w:pgMar w:top="976" w:right="1417" w:bottom="941" w:left="1417" w:header="400" w:footer="400" w:gutter="0"/>
          <w:cols w:space="708"/>
          <w:titlePg/>
          <w:docGrid w:linePitch="326"/>
        </w:sectPr>
      </w:pPr>
    </w:p>
    <w:p w:rsidR="000D313E" w:rsidRDefault="000D313E" w:rsidP="000D313E">
      <w:pPr>
        <w:widowControl/>
        <w:suppressAutoHyphens w:val="0"/>
        <w:spacing w:after="200"/>
        <w:ind w:left="283" w:right="283" w:firstLine="567"/>
        <w:jc w:val="both"/>
        <w:rPr>
          <w:b/>
          <w:color w:val="010000"/>
        </w:rPr>
      </w:pPr>
    </w:p>
    <w:p w:rsidR="002E79DF" w:rsidRPr="000D313E" w:rsidRDefault="001652CD" w:rsidP="000D313E">
      <w:pPr>
        <w:widowControl/>
        <w:suppressAutoHyphens w:val="0"/>
        <w:spacing w:after="200"/>
        <w:ind w:left="283" w:right="283" w:firstLine="1"/>
        <w:jc w:val="center"/>
        <w:rPr>
          <w:color w:val="010000"/>
        </w:rPr>
      </w:pPr>
      <w:r w:rsidRPr="000D313E">
        <w:rPr>
          <w:b/>
          <w:color w:val="010000"/>
        </w:rPr>
        <w:t>İKİNCİ BÖLÜM</w:t>
      </w:r>
    </w:p>
    <w:p w:rsidR="002E79DF" w:rsidRPr="000D313E" w:rsidRDefault="001652CD" w:rsidP="000D313E">
      <w:pPr>
        <w:widowControl/>
        <w:suppressAutoHyphens w:val="0"/>
        <w:spacing w:after="200"/>
        <w:ind w:left="283" w:right="283" w:firstLine="1"/>
        <w:jc w:val="center"/>
        <w:rPr>
          <w:color w:val="010000"/>
        </w:rPr>
      </w:pPr>
      <w:r w:rsidRPr="000D313E">
        <w:rPr>
          <w:b/>
          <w:color w:val="010000"/>
        </w:rPr>
        <w:t>KARAR</w:t>
      </w:r>
    </w:p>
    <w:p w:rsidR="000D313E" w:rsidRDefault="000D313E" w:rsidP="000D313E">
      <w:pPr>
        <w:widowControl/>
        <w:suppressAutoHyphens w:val="0"/>
        <w:spacing w:after="200"/>
        <w:ind w:left="283" w:right="283" w:firstLine="567"/>
        <w:jc w:val="both"/>
        <w:rPr>
          <w:b/>
          <w:color w:val="010000"/>
          <w:lang w:eastAsia="fa-IR"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0D313E" w:rsidRPr="000D313E" w:rsidTr="000D313E">
        <w:tblPrEx>
          <w:tblCellMar>
            <w:top w:w="0" w:type="dxa"/>
            <w:bottom w:w="0" w:type="dxa"/>
          </w:tblCellMar>
        </w:tblPrEx>
        <w:trPr>
          <w:trHeight w:val="454"/>
        </w:trPr>
        <w:tc>
          <w:tcPr>
            <w:tcW w:w="2400" w:type="dxa"/>
          </w:tcPr>
          <w:p w:rsidR="000D313E" w:rsidRPr="000D313E" w:rsidRDefault="000D313E" w:rsidP="000D313E">
            <w:pPr>
              <w:widowControl/>
              <w:suppressAutoHyphens w:val="0"/>
              <w:rPr>
                <w:b/>
                <w:color w:val="010000"/>
              </w:rPr>
            </w:pPr>
            <w:r w:rsidRPr="000D313E">
              <w:rPr>
                <w:b/>
                <w:color w:val="010000"/>
              </w:rPr>
              <w:t>Başkan</w:t>
            </w:r>
          </w:p>
        </w:tc>
        <w:tc>
          <w:tcPr>
            <w:tcW w:w="200" w:type="dxa"/>
          </w:tcPr>
          <w:p w:rsidR="000D313E" w:rsidRPr="000D313E" w:rsidRDefault="000D313E" w:rsidP="000D313E">
            <w:pPr>
              <w:widowControl/>
              <w:suppressAutoHyphens w:val="0"/>
              <w:rPr>
                <w:b/>
                <w:color w:val="010000"/>
              </w:rPr>
            </w:pPr>
            <w:r w:rsidRPr="000D313E">
              <w:rPr>
                <w:b/>
                <w:color w:val="010000"/>
              </w:rPr>
              <w:t>:</w:t>
            </w:r>
          </w:p>
        </w:tc>
        <w:tc>
          <w:tcPr>
            <w:tcW w:w="5400" w:type="dxa"/>
          </w:tcPr>
          <w:p w:rsidR="000D313E" w:rsidRPr="000D313E" w:rsidRDefault="000D313E" w:rsidP="000D313E">
            <w:pPr>
              <w:widowControl/>
              <w:suppressAutoHyphens w:val="0"/>
              <w:rPr>
                <w:color w:val="010000"/>
              </w:rPr>
            </w:pPr>
            <w:r w:rsidRPr="000D313E">
              <w:rPr>
                <w:color w:val="010000"/>
              </w:rPr>
              <w:t>Kadir ÖZKAYA</w:t>
            </w:r>
          </w:p>
        </w:tc>
      </w:tr>
      <w:tr w:rsidR="000D313E" w:rsidRPr="000D313E" w:rsidTr="000D313E">
        <w:tblPrEx>
          <w:tblCellMar>
            <w:top w:w="0" w:type="dxa"/>
            <w:bottom w:w="0" w:type="dxa"/>
          </w:tblCellMar>
        </w:tblPrEx>
        <w:trPr>
          <w:trHeight w:val="454"/>
        </w:trPr>
        <w:tc>
          <w:tcPr>
            <w:tcW w:w="2400" w:type="dxa"/>
          </w:tcPr>
          <w:p w:rsidR="000D313E" w:rsidRPr="000D313E" w:rsidRDefault="000D313E" w:rsidP="000D313E">
            <w:pPr>
              <w:widowControl/>
              <w:suppressAutoHyphens w:val="0"/>
              <w:rPr>
                <w:b/>
                <w:color w:val="010000"/>
              </w:rPr>
            </w:pPr>
            <w:r w:rsidRPr="000D313E">
              <w:rPr>
                <w:b/>
                <w:color w:val="010000"/>
              </w:rPr>
              <w:t>Üyeler</w:t>
            </w:r>
          </w:p>
        </w:tc>
        <w:tc>
          <w:tcPr>
            <w:tcW w:w="200" w:type="dxa"/>
          </w:tcPr>
          <w:p w:rsidR="000D313E" w:rsidRPr="000D313E" w:rsidRDefault="000D313E" w:rsidP="000D313E">
            <w:pPr>
              <w:widowControl/>
              <w:suppressAutoHyphens w:val="0"/>
              <w:rPr>
                <w:b/>
                <w:color w:val="010000"/>
              </w:rPr>
            </w:pPr>
            <w:r w:rsidRPr="000D313E">
              <w:rPr>
                <w:b/>
                <w:color w:val="010000"/>
              </w:rPr>
              <w:t>:</w:t>
            </w:r>
          </w:p>
        </w:tc>
        <w:tc>
          <w:tcPr>
            <w:tcW w:w="5400" w:type="dxa"/>
          </w:tcPr>
          <w:p w:rsidR="000D313E" w:rsidRPr="000D313E" w:rsidRDefault="000D313E" w:rsidP="000D313E">
            <w:pPr>
              <w:widowControl/>
              <w:suppressAutoHyphens w:val="0"/>
              <w:rPr>
                <w:color w:val="010000"/>
              </w:rPr>
            </w:pPr>
            <w:r w:rsidRPr="000D313E">
              <w:rPr>
                <w:color w:val="010000"/>
              </w:rPr>
              <w:t>Engin YILDIRIM</w:t>
            </w:r>
          </w:p>
        </w:tc>
      </w:tr>
      <w:tr w:rsidR="000D313E" w:rsidRPr="000D313E" w:rsidTr="000D313E">
        <w:tblPrEx>
          <w:tblCellMar>
            <w:top w:w="0" w:type="dxa"/>
            <w:bottom w:w="0" w:type="dxa"/>
          </w:tblCellMar>
        </w:tblPrEx>
        <w:trPr>
          <w:trHeight w:val="454"/>
        </w:trPr>
        <w:tc>
          <w:tcPr>
            <w:tcW w:w="2400" w:type="dxa"/>
          </w:tcPr>
          <w:p w:rsidR="000D313E" w:rsidRPr="000D313E" w:rsidRDefault="000D313E" w:rsidP="000D313E">
            <w:pPr>
              <w:widowControl/>
              <w:suppressAutoHyphens w:val="0"/>
              <w:rPr>
                <w:b/>
                <w:color w:val="010000"/>
              </w:rPr>
            </w:pPr>
          </w:p>
        </w:tc>
        <w:tc>
          <w:tcPr>
            <w:tcW w:w="200" w:type="dxa"/>
          </w:tcPr>
          <w:p w:rsidR="000D313E" w:rsidRPr="000D313E" w:rsidRDefault="000D313E" w:rsidP="000D313E">
            <w:pPr>
              <w:widowControl/>
              <w:suppressAutoHyphens w:val="0"/>
              <w:rPr>
                <w:b/>
                <w:color w:val="010000"/>
              </w:rPr>
            </w:pPr>
          </w:p>
        </w:tc>
        <w:tc>
          <w:tcPr>
            <w:tcW w:w="5400" w:type="dxa"/>
          </w:tcPr>
          <w:p w:rsidR="000D313E" w:rsidRPr="000D313E" w:rsidRDefault="000D313E" w:rsidP="000D313E">
            <w:pPr>
              <w:widowControl/>
              <w:suppressAutoHyphens w:val="0"/>
              <w:rPr>
                <w:color w:val="010000"/>
              </w:rPr>
            </w:pPr>
            <w:r w:rsidRPr="000D313E">
              <w:rPr>
                <w:color w:val="010000"/>
              </w:rPr>
              <w:t>Rıdvan GÜLEÇ</w:t>
            </w:r>
          </w:p>
        </w:tc>
      </w:tr>
      <w:tr w:rsidR="000D313E" w:rsidRPr="000D313E" w:rsidTr="000D313E">
        <w:tblPrEx>
          <w:tblCellMar>
            <w:top w:w="0" w:type="dxa"/>
            <w:bottom w:w="0" w:type="dxa"/>
          </w:tblCellMar>
        </w:tblPrEx>
        <w:trPr>
          <w:trHeight w:val="454"/>
        </w:trPr>
        <w:tc>
          <w:tcPr>
            <w:tcW w:w="2400" w:type="dxa"/>
          </w:tcPr>
          <w:p w:rsidR="000D313E" w:rsidRPr="000D313E" w:rsidRDefault="000D313E" w:rsidP="000D313E">
            <w:pPr>
              <w:widowControl/>
              <w:suppressAutoHyphens w:val="0"/>
              <w:rPr>
                <w:b/>
                <w:color w:val="010000"/>
              </w:rPr>
            </w:pPr>
          </w:p>
        </w:tc>
        <w:tc>
          <w:tcPr>
            <w:tcW w:w="200" w:type="dxa"/>
          </w:tcPr>
          <w:p w:rsidR="000D313E" w:rsidRPr="000D313E" w:rsidRDefault="000D313E" w:rsidP="000D313E">
            <w:pPr>
              <w:widowControl/>
              <w:suppressAutoHyphens w:val="0"/>
              <w:rPr>
                <w:b/>
                <w:color w:val="010000"/>
              </w:rPr>
            </w:pPr>
          </w:p>
        </w:tc>
        <w:tc>
          <w:tcPr>
            <w:tcW w:w="5400" w:type="dxa"/>
          </w:tcPr>
          <w:p w:rsidR="000D313E" w:rsidRPr="000D313E" w:rsidRDefault="000D313E" w:rsidP="000D313E">
            <w:pPr>
              <w:widowControl/>
              <w:suppressAutoHyphens w:val="0"/>
              <w:rPr>
                <w:color w:val="010000"/>
              </w:rPr>
            </w:pPr>
            <w:r w:rsidRPr="000D313E">
              <w:rPr>
                <w:color w:val="010000"/>
              </w:rPr>
              <w:t>Basri BAĞCI</w:t>
            </w:r>
          </w:p>
        </w:tc>
      </w:tr>
      <w:tr w:rsidR="000D313E" w:rsidRPr="000D313E" w:rsidTr="000D313E">
        <w:tblPrEx>
          <w:tblCellMar>
            <w:top w:w="0" w:type="dxa"/>
            <w:bottom w:w="0" w:type="dxa"/>
          </w:tblCellMar>
        </w:tblPrEx>
        <w:trPr>
          <w:trHeight w:val="454"/>
        </w:trPr>
        <w:tc>
          <w:tcPr>
            <w:tcW w:w="2400" w:type="dxa"/>
          </w:tcPr>
          <w:p w:rsidR="000D313E" w:rsidRPr="000D313E" w:rsidRDefault="000D313E" w:rsidP="000D313E">
            <w:pPr>
              <w:widowControl/>
              <w:suppressAutoHyphens w:val="0"/>
              <w:rPr>
                <w:b/>
                <w:color w:val="010000"/>
              </w:rPr>
            </w:pPr>
          </w:p>
        </w:tc>
        <w:tc>
          <w:tcPr>
            <w:tcW w:w="200" w:type="dxa"/>
          </w:tcPr>
          <w:p w:rsidR="000D313E" w:rsidRPr="000D313E" w:rsidRDefault="000D313E" w:rsidP="000D313E">
            <w:pPr>
              <w:widowControl/>
              <w:suppressAutoHyphens w:val="0"/>
              <w:rPr>
                <w:b/>
                <w:color w:val="010000"/>
              </w:rPr>
            </w:pPr>
          </w:p>
        </w:tc>
        <w:tc>
          <w:tcPr>
            <w:tcW w:w="5400" w:type="dxa"/>
          </w:tcPr>
          <w:p w:rsidR="000D313E" w:rsidRPr="000D313E" w:rsidRDefault="000D313E" w:rsidP="000D313E">
            <w:pPr>
              <w:widowControl/>
              <w:suppressAutoHyphens w:val="0"/>
              <w:rPr>
                <w:color w:val="010000"/>
              </w:rPr>
            </w:pPr>
            <w:r w:rsidRPr="000D313E">
              <w:rPr>
                <w:color w:val="010000"/>
              </w:rPr>
              <w:t>Kenan YAŞAR</w:t>
            </w:r>
          </w:p>
        </w:tc>
      </w:tr>
      <w:tr w:rsidR="000D313E" w:rsidRPr="000D313E" w:rsidTr="000D313E">
        <w:tblPrEx>
          <w:tblCellMar>
            <w:top w:w="0" w:type="dxa"/>
            <w:bottom w:w="0" w:type="dxa"/>
          </w:tblCellMar>
        </w:tblPrEx>
        <w:trPr>
          <w:trHeight w:val="454"/>
        </w:trPr>
        <w:tc>
          <w:tcPr>
            <w:tcW w:w="2400" w:type="dxa"/>
          </w:tcPr>
          <w:p w:rsidR="000D313E" w:rsidRPr="000D313E" w:rsidRDefault="000D313E" w:rsidP="000D313E">
            <w:pPr>
              <w:widowControl/>
              <w:suppressAutoHyphens w:val="0"/>
              <w:rPr>
                <w:b/>
                <w:color w:val="010000"/>
              </w:rPr>
            </w:pPr>
            <w:r w:rsidRPr="000D313E">
              <w:rPr>
                <w:b/>
                <w:color w:val="010000"/>
              </w:rPr>
              <w:t>Raportör</w:t>
            </w:r>
          </w:p>
        </w:tc>
        <w:tc>
          <w:tcPr>
            <w:tcW w:w="200" w:type="dxa"/>
          </w:tcPr>
          <w:p w:rsidR="000D313E" w:rsidRPr="000D313E" w:rsidRDefault="000D313E" w:rsidP="000D313E">
            <w:pPr>
              <w:widowControl/>
              <w:suppressAutoHyphens w:val="0"/>
              <w:rPr>
                <w:b/>
                <w:color w:val="010000"/>
              </w:rPr>
            </w:pPr>
            <w:r w:rsidRPr="000D313E">
              <w:rPr>
                <w:b/>
                <w:color w:val="010000"/>
              </w:rPr>
              <w:t>:</w:t>
            </w:r>
          </w:p>
        </w:tc>
        <w:tc>
          <w:tcPr>
            <w:tcW w:w="5400" w:type="dxa"/>
          </w:tcPr>
          <w:p w:rsidR="000D313E" w:rsidRPr="000D313E" w:rsidRDefault="000D313E" w:rsidP="000D313E">
            <w:pPr>
              <w:widowControl/>
              <w:suppressAutoHyphens w:val="0"/>
              <w:rPr>
                <w:color w:val="010000"/>
              </w:rPr>
            </w:pPr>
            <w:r w:rsidRPr="000D313E">
              <w:rPr>
                <w:color w:val="010000"/>
              </w:rPr>
              <w:t>Tuğba YILDIZ</w:t>
            </w:r>
          </w:p>
        </w:tc>
      </w:tr>
      <w:tr w:rsidR="000D313E" w:rsidRPr="000D313E" w:rsidTr="000D313E">
        <w:tblPrEx>
          <w:tblCellMar>
            <w:top w:w="0" w:type="dxa"/>
            <w:bottom w:w="0" w:type="dxa"/>
          </w:tblCellMar>
        </w:tblPrEx>
        <w:trPr>
          <w:trHeight w:val="454"/>
        </w:trPr>
        <w:tc>
          <w:tcPr>
            <w:tcW w:w="2400" w:type="dxa"/>
          </w:tcPr>
          <w:p w:rsidR="000D313E" w:rsidRPr="000D313E" w:rsidRDefault="000D313E" w:rsidP="000D313E">
            <w:pPr>
              <w:widowControl/>
              <w:suppressAutoHyphens w:val="0"/>
              <w:rPr>
                <w:b/>
                <w:color w:val="010000"/>
              </w:rPr>
            </w:pPr>
            <w:r w:rsidRPr="000D313E">
              <w:rPr>
                <w:b/>
                <w:color w:val="010000"/>
              </w:rPr>
              <w:t>Başvurucu</w:t>
            </w:r>
          </w:p>
        </w:tc>
        <w:tc>
          <w:tcPr>
            <w:tcW w:w="200" w:type="dxa"/>
          </w:tcPr>
          <w:p w:rsidR="000D313E" w:rsidRPr="000D313E" w:rsidRDefault="000D313E" w:rsidP="000D313E">
            <w:pPr>
              <w:widowControl/>
              <w:suppressAutoHyphens w:val="0"/>
              <w:rPr>
                <w:b/>
                <w:color w:val="010000"/>
              </w:rPr>
            </w:pPr>
            <w:r w:rsidRPr="000D313E">
              <w:rPr>
                <w:b/>
                <w:color w:val="010000"/>
              </w:rPr>
              <w:t>:</w:t>
            </w:r>
          </w:p>
        </w:tc>
        <w:tc>
          <w:tcPr>
            <w:tcW w:w="5400" w:type="dxa"/>
          </w:tcPr>
          <w:p w:rsidR="000D313E" w:rsidRPr="000D313E" w:rsidRDefault="000D313E" w:rsidP="000D313E">
            <w:pPr>
              <w:widowControl/>
              <w:suppressAutoHyphens w:val="0"/>
              <w:rPr>
                <w:color w:val="010000"/>
              </w:rPr>
            </w:pPr>
            <w:r w:rsidRPr="000D313E">
              <w:rPr>
                <w:color w:val="010000"/>
              </w:rPr>
              <w:t>Soner YOZGAT</w:t>
            </w:r>
          </w:p>
        </w:tc>
      </w:tr>
      <w:tr w:rsidR="000D313E" w:rsidRPr="000D313E" w:rsidTr="000D313E">
        <w:tblPrEx>
          <w:tblCellMar>
            <w:top w:w="0" w:type="dxa"/>
            <w:bottom w:w="0" w:type="dxa"/>
          </w:tblCellMar>
        </w:tblPrEx>
        <w:trPr>
          <w:trHeight w:val="454"/>
        </w:trPr>
        <w:tc>
          <w:tcPr>
            <w:tcW w:w="2400" w:type="dxa"/>
          </w:tcPr>
          <w:p w:rsidR="000D313E" w:rsidRPr="000D313E" w:rsidRDefault="000D313E" w:rsidP="000D313E">
            <w:pPr>
              <w:widowControl/>
              <w:suppressAutoHyphens w:val="0"/>
              <w:rPr>
                <w:b/>
                <w:color w:val="010000"/>
              </w:rPr>
            </w:pPr>
            <w:r w:rsidRPr="000D313E">
              <w:rPr>
                <w:b/>
                <w:color w:val="010000"/>
              </w:rPr>
              <w:t>Vekili</w:t>
            </w:r>
          </w:p>
        </w:tc>
        <w:tc>
          <w:tcPr>
            <w:tcW w:w="200" w:type="dxa"/>
          </w:tcPr>
          <w:p w:rsidR="000D313E" w:rsidRPr="000D313E" w:rsidRDefault="000D313E" w:rsidP="000D313E">
            <w:pPr>
              <w:widowControl/>
              <w:suppressAutoHyphens w:val="0"/>
              <w:rPr>
                <w:b/>
                <w:color w:val="010000"/>
              </w:rPr>
            </w:pPr>
            <w:r w:rsidRPr="000D313E">
              <w:rPr>
                <w:b/>
                <w:color w:val="010000"/>
              </w:rPr>
              <w:t>:</w:t>
            </w:r>
          </w:p>
        </w:tc>
        <w:tc>
          <w:tcPr>
            <w:tcW w:w="5400" w:type="dxa"/>
          </w:tcPr>
          <w:p w:rsidR="000D313E" w:rsidRPr="000D313E" w:rsidRDefault="000D313E" w:rsidP="000D313E">
            <w:pPr>
              <w:widowControl/>
              <w:suppressAutoHyphens w:val="0"/>
              <w:rPr>
                <w:color w:val="010000"/>
              </w:rPr>
            </w:pPr>
            <w:r w:rsidRPr="000D313E">
              <w:rPr>
                <w:color w:val="010000"/>
              </w:rPr>
              <w:t>Av. Can KAMALI</w:t>
            </w:r>
          </w:p>
        </w:tc>
      </w:tr>
    </w:tbl>
    <w:p w:rsidR="000D313E" w:rsidRDefault="000D313E" w:rsidP="000D313E">
      <w:pPr>
        <w:widowControl/>
        <w:suppressAutoHyphens w:val="0"/>
        <w:spacing w:after="200"/>
        <w:ind w:left="283" w:right="283" w:firstLine="567"/>
        <w:jc w:val="both"/>
        <w:rPr>
          <w:b/>
          <w:color w:val="010000"/>
        </w:rPr>
      </w:pPr>
    </w:p>
    <w:p w:rsidR="002E79DF" w:rsidRPr="000D313E" w:rsidRDefault="001652CD" w:rsidP="000D313E">
      <w:pPr>
        <w:widowControl/>
        <w:suppressAutoHyphens w:val="0"/>
        <w:spacing w:after="200"/>
        <w:ind w:left="283" w:right="283" w:firstLine="567"/>
        <w:jc w:val="both"/>
        <w:rPr>
          <w:color w:val="010000"/>
        </w:rPr>
      </w:pPr>
      <w:r w:rsidRPr="000D313E">
        <w:rPr>
          <w:b/>
          <w:color w:val="010000"/>
        </w:rPr>
        <w:t>I.</w:t>
      </w:r>
      <w:r w:rsidR="000D313E" w:rsidRPr="000D313E">
        <w:rPr>
          <w:color w:val="010000"/>
        </w:rPr>
        <w:t xml:space="preserve"> </w:t>
      </w:r>
      <w:r w:rsidRPr="000D313E">
        <w:rPr>
          <w:b/>
          <w:color w:val="010000"/>
        </w:rPr>
        <w:t xml:space="preserve">BAŞVURUNUN KONUSU </w:t>
      </w:r>
    </w:p>
    <w:p w:rsidR="002E79DF" w:rsidRPr="000D313E" w:rsidRDefault="001652CD" w:rsidP="000D313E">
      <w:pPr>
        <w:widowControl/>
        <w:suppressAutoHyphens w:val="0"/>
        <w:spacing w:after="200"/>
        <w:ind w:left="283" w:right="283" w:firstLine="567"/>
        <w:jc w:val="both"/>
        <w:rPr>
          <w:color w:val="010000"/>
        </w:rPr>
      </w:pPr>
      <w:r w:rsidRPr="000D313E">
        <w:rPr>
          <w:color w:val="010000"/>
        </w:rPr>
        <w:t>1.</w:t>
      </w:r>
      <w:r w:rsidR="000D313E" w:rsidRPr="000D313E">
        <w:rPr>
          <w:color w:val="010000"/>
        </w:rPr>
        <w:t xml:space="preserve"> </w:t>
      </w:r>
      <w:r w:rsidRPr="000D313E">
        <w:rPr>
          <w:color w:val="010000"/>
        </w:rPr>
        <w:t xml:space="preserve">Başvuru, kıymet takdirine itiraz talebiyle açılan davada keşif ve bilirkişi incelemesi için gereken gider avansının yatırılmadığı gerekçesiyle davanın reddedilmesi nedeniyle mahkemeye erişim hakkının ihlal edildiği iddiasına ilişkindir. </w:t>
      </w:r>
    </w:p>
    <w:p w:rsidR="002E79DF" w:rsidRPr="000D313E" w:rsidRDefault="001652CD" w:rsidP="000D313E">
      <w:pPr>
        <w:pStyle w:val="edf1450279197849"/>
        <w:widowControl/>
        <w:suppressAutoHyphens w:val="0"/>
        <w:spacing w:after="200"/>
        <w:ind w:left="283" w:right="283" w:firstLine="567"/>
        <w:jc w:val="both"/>
        <w:rPr>
          <w:rFonts w:cs="Times New Roman"/>
          <w:color w:val="010000"/>
        </w:rPr>
      </w:pPr>
      <w:r w:rsidRPr="000D313E">
        <w:rPr>
          <w:rFonts w:cs="Times New Roman"/>
          <w:b/>
          <w:color w:val="010000"/>
        </w:rPr>
        <w:t>II.</w:t>
      </w:r>
      <w:r w:rsidR="000D313E" w:rsidRPr="000D313E">
        <w:rPr>
          <w:rFonts w:cs="Times New Roman"/>
          <w:color w:val="010000"/>
        </w:rPr>
        <w:t xml:space="preserve"> </w:t>
      </w:r>
      <w:r w:rsidRPr="000D313E">
        <w:rPr>
          <w:rFonts w:cs="Times New Roman"/>
          <w:b/>
          <w:color w:val="010000"/>
        </w:rPr>
        <w:t>BAŞVURU SÜRECİ</w:t>
      </w:r>
    </w:p>
    <w:p w:rsidR="002E79DF" w:rsidRPr="000D313E" w:rsidRDefault="001652CD" w:rsidP="000D313E">
      <w:pPr>
        <w:widowControl/>
        <w:suppressAutoHyphens w:val="0"/>
        <w:spacing w:after="200"/>
        <w:ind w:left="283" w:right="283" w:firstLine="567"/>
        <w:jc w:val="both"/>
        <w:rPr>
          <w:color w:val="010000"/>
        </w:rPr>
      </w:pPr>
      <w:r w:rsidRPr="000D313E">
        <w:rPr>
          <w:color w:val="010000"/>
        </w:rPr>
        <w:t>2.</w:t>
      </w:r>
      <w:r w:rsidR="000D313E" w:rsidRPr="000D313E">
        <w:rPr>
          <w:color w:val="010000"/>
        </w:rPr>
        <w:t xml:space="preserve"> </w:t>
      </w:r>
      <w:r w:rsidRPr="000D313E">
        <w:rPr>
          <w:color w:val="010000"/>
        </w:rPr>
        <w:t>Başvuru 26/12/2018 tarihinde yapılmıştır.</w:t>
      </w:r>
    </w:p>
    <w:p w:rsidR="002E79DF" w:rsidRPr="000D313E" w:rsidRDefault="001652CD" w:rsidP="000D313E">
      <w:pPr>
        <w:widowControl/>
        <w:suppressAutoHyphens w:val="0"/>
        <w:spacing w:after="200"/>
        <w:ind w:left="283" w:right="283" w:firstLine="567"/>
        <w:jc w:val="both"/>
        <w:rPr>
          <w:color w:val="010000"/>
        </w:rPr>
      </w:pPr>
      <w:r w:rsidRPr="000D313E">
        <w:rPr>
          <w:color w:val="010000"/>
        </w:rPr>
        <w:t>3.</w:t>
      </w:r>
      <w:r w:rsidR="000D313E" w:rsidRPr="000D313E">
        <w:rPr>
          <w:color w:val="010000"/>
        </w:rPr>
        <w:t xml:space="preserve"> </w:t>
      </w:r>
      <w:r w:rsidRPr="000D313E">
        <w:rPr>
          <w:color w:val="010000"/>
        </w:rPr>
        <w:t>Başvuru, başvuru formu ve eklerinin idari yönden yapılan ön incelemesinden sonra Komisyona sunulmuştur.</w:t>
      </w:r>
    </w:p>
    <w:p w:rsidR="002E79DF" w:rsidRPr="000D313E" w:rsidRDefault="001652CD" w:rsidP="000D313E">
      <w:pPr>
        <w:widowControl/>
        <w:suppressAutoHyphens w:val="0"/>
        <w:spacing w:after="200"/>
        <w:ind w:left="283" w:right="283" w:firstLine="567"/>
        <w:jc w:val="both"/>
        <w:rPr>
          <w:color w:val="010000"/>
        </w:rPr>
      </w:pPr>
      <w:r w:rsidRPr="000D313E">
        <w:rPr>
          <w:color w:val="010000"/>
        </w:rPr>
        <w:t>4.</w:t>
      </w:r>
      <w:r w:rsidR="000D313E" w:rsidRPr="000D313E">
        <w:rPr>
          <w:color w:val="010000"/>
        </w:rPr>
        <w:t xml:space="preserve"> </w:t>
      </w:r>
      <w:r w:rsidRPr="000D313E">
        <w:rPr>
          <w:color w:val="010000"/>
        </w:rPr>
        <w:t xml:space="preserve">Komisyonca başvurunun kabul edilebilirlik incelemesinin Bölüm tarafından yapılmasına karar verilmiştir. </w:t>
      </w:r>
    </w:p>
    <w:p w:rsidR="002E79DF" w:rsidRPr="000D313E" w:rsidRDefault="001652CD" w:rsidP="000D313E">
      <w:pPr>
        <w:widowControl/>
        <w:suppressAutoHyphens w:val="0"/>
        <w:spacing w:after="200"/>
        <w:ind w:left="283" w:right="283" w:firstLine="567"/>
        <w:jc w:val="both"/>
        <w:rPr>
          <w:color w:val="010000"/>
        </w:rPr>
      </w:pPr>
      <w:r w:rsidRPr="000D313E">
        <w:rPr>
          <w:color w:val="010000"/>
        </w:rPr>
        <w:t>5.</w:t>
      </w:r>
      <w:r w:rsidR="000D313E" w:rsidRPr="000D313E">
        <w:rPr>
          <w:color w:val="010000"/>
        </w:rPr>
        <w:t xml:space="preserve"> </w:t>
      </w:r>
      <w:r w:rsidRPr="000D313E">
        <w:rPr>
          <w:color w:val="010000"/>
        </w:rPr>
        <w:t>Bölüm Başkanı tarafından başvurunun kabul edilebilirlik ve esas incelemesinin birlikte yapılmasına karar verilmiştir.</w:t>
      </w:r>
    </w:p>
    <w:p w:rsidR="002E79DF" w:rsidRPr="000D313E" w:rsidRDefault="001652CD" w:rsidP="000D313E">
      <w:pPr>
        <w:widowControl/>
        <w:suppressAutoHyphens w:val="0"/>
        <w:spacing w:after="200"/>
        <w:ind w:left="283" w:right="283" w:firstLine="567"/>
        <w:jc w:val="both"/>
        <w:rPr>
          <w:color w:val="010000"/>
        </w:rPr>
      </w:pPr>
      <w:r w:rsidRPr="000D313E">
        <w:rPr>
          <w:color w:val="010000"/>
        </w:rPr>
        <w:t>6.</w:t>
      </w:r>
      <w:r w:rsidR="000D313E" w:rsidRPr="000D313E">
        <w:rPr>
          <w:color w:val="010000"/>
        </w:rPr>
        <w:t xml:space="preserve"> </w:t>
      </w:r>
      <w:r w:rsidRPr="000D313E">
        <w:rPr>
          <w:color w:val="010000"/>
        </w:rPr>
        <w:t xml:space="preserve">Başvuru belgelerinin bir örneği bilgi için Adalet Bakanlığına gönderilmiştir. </w:t>
      </w:r>
    </w:p>
    <w:p w:rsidR="002E79DF" w:rsidRPr="000D313E" w:rsidRDefault="001652CD" w:rsidP="000D313E">
      <w:pPr>
        <w:widowControl/>
        <w:suppressAutoHyphens w:val="0"/>
        <w:spacing w:after="200"/>
        <w:ind w:left="283" w:right="283" w:firstLine="567"/>
        <w:jc w:val="both"/>
        <w:rPr>
          <w:color w:val="010000"/>
        </w:rPr>
      </w:pPr>
      <w:r w:rsidRPr="000D313E">
        <w:rPr>
          <w:b/>
          <w:color w:val="010000"/>
        </w:rPr>
        <w:t>III.</w:t>
      </w:r>
      <w:r w:rsidR="000D313E" w:rsidRPr="000D313E">
        <w:rPr>
          <w:color w:val="010000"/>
        </w:rPr>
        <w:t xml:space="preserve"> </w:t>
      </w:r>
      <w:r w:rsidRPr="000D313E">
        <w:rPr>
          <w:b/>
          <w:color w:val="010000"/>
        </w:rPr>
        <w:t xml:space="preserve">OLAY VE OLGULAR </w:t>
      </w:r>
    </w:p>
    <w:p w:rsidR="002E79DF" w:rsidRPr="000D313E" w:rsidRDefault="001652CD" w:rsidP="000D313E">
      <w:pPr>
        <w:widowControl/>
        <w:suppressAutoHyphens w:val="0"/>
        <w:spacing w:after="200"/>
        <w:ind w:left="283" w:right="283" w:firstLine="567"/>
        <w:jc w:val="both"/>
        <w:rPr>
          <w:color w:val="010000"/>
        </w:rPr>
      </w:pPr>
      <w:r w:rsidRPr="000D313E">
        <w:rPr>
          <w:color w:val="010000"/>
        </w:rPr>
        <w:t>7.</w:t>
      </w:r>
      <w:r w:rsidR="000D313E" w:rsidRPr="000D313E">
        <w:rPr>
          <w:color w:val="010000"/>
        </w:rPr>
        <w:t xml:space="preserve"> </w:t>
      </w:r>
      <w:r w:rsidRPr="000D313E">
        <w:rPr>
          <w:color w:val="010000"/>
        </w:rPr>
        <w:t>Başvuru formu ve eklerinde ifade edildiği şekliyle ilgili olaylar özetle şöyledir:</w:t>
      </w:r>
    </w:p>
    <w:p w:rsidR="002E79DF" w:rsidRPr="000D313E" w:rsidRDefault="001652CD" w:rsidP="000D313E">
      <w:pPr>
        <w:widowControl/>
        <w:suppressAutoHyphens w:val="0"/>
        <w:spacing w:after="200"/>
        <w:ind w:left="283" w:right="283" w:firstLine="567"/>
        <w:jc w:val="both"/>
        <w:rPr>
          <w:color w:val="010000"/>
        </w:rPr>
      </w:pPr>
      <w:r w:rsidRPr="000D313E">
        <w:rPr>
          <w:color w:val="010000"/>
        </w:rPr>
        <w:t>8.</w:t>
      </w:r>
      <w:r w:rsidR="000D313E" w:rsidRPr="000D313E">
        <w:rPr>
          <w:color w:val="010000"/>
        </w:rPr>
        <w:t xml:space="preserve"> </w:t>
      </w:r>
      <w:r w:rsidRPr="000D313E">
        <w:rPr>
          <w:color w:val="010000"/>
        </w:rPr>
        <w:t>Başvurucu hakkında borçlusu olduğu şirket tarafından icra takibi başlatılmıştır. Söz konusu icra takibi kapsamında başvurucu adına kayıtlı taşınmazlar üzerine haciz konulmuş, satış için kıymet takdir raporu düzenlenmiştir.</w:t>
      </w:r>
    </w:p>
    <w:p w:rsidR="002E79DF" w:rsidRPr="000D313E" w:rsidRDefault="001652CD" w:rsidP="000D313E">
      <w:pPr>
        <w:widowControl/>
        <w:suppressAutoHyphens w:val="0"/>
        <w:spacing w:after="200"/>
        <w:ind w:left="283" w:right="283" w:firstLine="567"/>
        <w:jc w:val="both"/>
        <w:rPr>
          <w:color w:val="010000"/>
        </w:rPr>
      </w:pPr>
      <w:r w:rsidRPr="000D313E">
        <w:rPr>
          <w:color w:val="010000"/>
        </w:rPr>
        <w:t>9.</w:t>
      </w:r>
      <w:r w:rsidR="000D313E" w:rsidRPr="000D313E">
        <w:rPr>
          <w:color w:val="010000"/>
        </w:rPr>
        <w:t xml:space="preserve"> </w:t>
      </w:r>
      <w:r w:rsidRPr="000D313E">
        <w:rPr>
          <w:color w:val="010000"/>
        </w:rPr>
        <w:t>Başvurucu,</w:t>
      </w:r>
      <w:r w:rsidR="000D313E" w:rsidRPr="000D313E">
        <w:rPr>
          <w:color w:val="010000"/>
        </w:rPr>
        <w:t xml:space="preserve"> </w:t>
      </w:r>
      <w:r w:rsidRPr="000D313E">
        <w:rPr>
          <w:color w:val="010000"/>
        </w:rPr>
        <w:t>taşınmaz için yapılan kıymet takdirinde taşınmazın değerinin çok düşük belirlendiği gerekçesiyle Akşehir İcra Hukuk Mahkemesinde kıymet takdirine itiraz davası açmıştır. Mahkeme 3/7/2018 tarihli yetkisizlik kararıyla dosyanın Yalvaç İcra Hukuk Mahkemesine gönderilmesine karar vermiştir.</w:t>
      </w:r>
    </w:p>
    <w:p w:rsidR="000D313E" w:rsidRDefault="000D313E" w:rsidP="000D313E">
      <w:pPr>
        <w:widowControl/>
        <w:suppressAutoHyphens w:val="0"/>
        <w:spacing w:after="200"/>
        <w:ind w:left="283" w:right="283" w:firstLine="567"/>
        <w:jc w:val="both"/>
        <w:rPr>
          <w:color w:val="010000"/>
        </w:rPr>
      </w:pPr>
      <w:r>
        <w:rPr>
          <w:color w:val="010000"/>
        </w:rPr>
        <w:lastRenderedPageBreak/>
        <w:t xml:space="preserve">10. Yalvaç İcra Hukuk Mahkemesi, dava dosyası üzerinden ve kesin olarak verdiği 13/12/2018 tarihli kararla davayı usulden reddetmiştir. Kararın gerekçesinde; başvurucu tarafından davanın süresinde açıldığı ancak dava açılırken veya açıldıktan sonra 9/6/1932 tarihli ve 2004 sayılı İcra İflas Kanunu'nun 128/a maddesinin </w:t>
      </w:r>
      <w:proofErr w:type="spellStart"/>
      <w:r>
        <w:rPr>
          <w:color w:val="010000"/>
        </w:rPr>
        <w:t>birincifıkrasına</w:t>
      </w:r>
      <w:proofErr w:type="spellEnd"/>
      <w:r>
        <w:rPr>
          <w:color w:val="010000"/>
        </w:rPr>
        <w:t xml:space="preserve"> uyarınca yedi gün içinde yatırılması gereken keşif, bilirkişi ücreti gibi masrafların mahkeme veznesine yatırılmadığı belirtilmiştir.</w:t>
      </w:r>
    </w:p>
    <w:p w:rsidR="002E79DF" w:rsidRPr="000D313E" w:rsidRDefault="001652CD" w:rsidP="000D313E">
      <w:pPr>
        <w:widowControl/>
        <w:suppressAutoHyphens w:val="0"/>
        <w:spacing w:after="200"/>
        <w:ind w:left="283" w:right="283" w:firstLine="567"/>
        <w:jc w:val="both"/>
        <w:rPr>
          <w:color w:val="010000"/>
        </w:rPr>
      </w:pPr>
      <w:r w:rsidRPr="000D313E">
        <w:rPr>
          <w:color w:val="010000"/>
        </w:rPr>
        <w:t>11.</w:t>
      </w:r>
      <w:r w:rsidR="000D313E" w:rsidRPr="000D313E">
        <w:rPr>
          <w:color w:val="010000"/>
        </w:rPr>
        <w:t xml:space="preserve"> </w:t>
      </w:r>
      <w:r w:rsidRPr="000D313E">
        <w:rPr>
          <w:color w:val="010000"/>
        </w:rPr>
        <w:t>Başvurucu 26/12/2018 tarihinde bireysel başvuruda bulunmuştur.</w:t>
      </w:r>
    </w:p>
    <w:p w:rsidR="002E79DF" w:rsidRPr="000D313E" w:rsidRDefault="001652CD" w:rsidP="000D313E">
      <w:pPr>
        <w:widowControl/>
        <w:suppressAutoHyphens w:val="0"/>
        <w:spacing w:after="200"/>
        <w:ind w:left="283" w:right="283" w:firstLine="567"/>
        <w:jc w:val="both"/>
        <w:rPr>
          <w:color w:val="010000"/>
        </w:rPr>
      </w:pPr>
      <w:r w:rsidRPr="000D313E">
        <w:rPr>
          <w:b/>
          <w:color w:val="010000"/>
        </w:rPr>
        <w:t>IV.</w:t>
      </w:r>
      <w:r w:rsidR="000D313E" w:rsidRPr="000D313E">
        <w:rPr>
          <w:color w:val="010000"/>
        </w:rPr>
        <w:t xml:space="preserve"> </w:t>
      </w:r>
      <w:r w:rsidRPr="000D313E">
        <w:rPr>
          <w:b/>
          <w:color w:val="010000"/>
        </w:rPr>
        <w:t>İLGİLİ HUKUK</w:t>
      </w:r>
    </w:p>
    <w:p w:rsidR="002E79DF" w:rsidRPr="000D313E" w:rsidRDefault="001652CD" w:rsidP="000D313E">
      <w:pPr>
        <w:widowControl/>
        <w:suppressAutoHyphens w:val="0"/>
        <w:spacing w:after="200"/>
        <w:ind w:left="283" w:right="283" w:firstLine="567"/>
        <w:jc w:val="both"/>
        <w:rPr>
          <w:color w:val="010000"/>
        </w:rPr>
      </w:pPr>
      <w:r w:rsidRPr="000D313E">
        <w:rPr>
          <w:color w:val="010000"/>
        </w:rPr>
        <w:t>12.</w:t>
      </w:r>
      <w:r w:rsidR="000D313E" w:rsidRPr="000D313E">
        <w:rPr>
          <w:color w:val="010000"/>
        </w:rPr>
        <w:t xml:space="preserve"> </w:t>
      </w:r>
      <w:r w:rsidRPr="000D313E">
        <w:rPr>
          <w:color w:val="010000"/>
        </w:rPr>
        <w:t xml:space="preserve">İlgili ulusal ve uluslararası hukuk için bkz. </w:t>
      </w:r>
      <w:proofErr w:type="spellStart"/>
      <w:r w:rsidRPr="000D313E">
        <w:rPr>
          <w:i/>
          <w:iCs/>
          <w:color w:val="010000"/>
        </w:rPr>
        <w:t>Nkt</w:t>
      </w:r>
      <w:proofErr w:type="spellEnd"/>
      <w:r w:rsidRPr="000D313E">
        <w:rPr>
          <w:i/>
          <w:iCs/>
          <w:color w:val="010000"/>
        </w:rPr>
        <w:t xml:space="preserve"> Teknoloji Dağıtım Ticaret Ltd. Şti.</w:t>
      </w:r>
      <w:r w:rsidRPr="000D313E">
        <w:rPr>
          <w:color w:val="010000"/>
        </w:rPr>
        <w:t>, B. No: 2018/26844, 24/2/2021, §§ 12-21.</w:t>
      </w:r>
    </w:p>
    <w:p w:rsidR="002E79DF" w:rsidRPr="000D313E" w:rsidRDefault="001652CD" w:rsidP="000D313E">
      <w:pPr>
        <w:pStyle w:val="edf1450279197849"/>
        <w:widowControl/>
        <w:suppressAutoHyphens w:val="0"/>
        <w:spacing w:after="200"/>
        <w:ind w:left="283" w:right="283" w:firstLine="567"/>
        <w:jc w:val="both"/>
        <w:rPr>
          <w:rFonts w:cs="Times New Roman"/>
          <w:color w:val="010000"/>
        </w:rPr>
      </w:pPr>
      <w:r w:rsidRPr="000D313E">
        <w:rPr>
          <w:rFonts w:cs="Times New Roman"/>
          <w:b/>
          <w:color w:val="010000"/>
        </w:rPr>
        <w:t>V.</w:t>
      </w:r>
      <w:r w:rsidR="000D313E" w:rsidRPr="000D313E">
        <w:rPr>
          <w:rFonts w:cs="Times New Roman"/>
          <w:color w:val="010000"/>
        </w:rPr>
        <w:t xml:space="preserve"> </w:t>
      </w:r>
      <w:r w:rsidRPr="000D313E">
        <w:rPr>
          <w:rFonts w:cs="Times New Roman"/>
          <w:b/>
          <w:color w:val="010000"/>
        </w:rPr>
        <w:t>İNCELEME VE GEREKÇE</w:t>
      </w:r>
    </w:p>
    <w:p w:rsidR="002E79DF" w:rsidRPr="000D313E" w:rsidRDefault="001652CD" w:rsidP="000D313E">
      <w:pPr>
        <w:widowControl/>
        <w:suppressAutoHyphens w:val="0"/>
        <w:spacing w:after="200"/>
        <w:ind w:left="283" w:right="283" w:firstLine="567"/>
        <w:jc w:val="both"/>
        <w:rPr>
          <w:color w:val="010000"/>
        </w:rPr>
      </w:pPr>
      <w:r w:rsidRPr="000D313E">
        <w:rPr>
          <w:color w:val="010000"/>
        </w:rPr>
        <w:t>13.</w:t>
      </w:r>
      <w:r w:rsidR="000D313E" w:rsidRPr="000D313E">
        <w:rPr>
          <w:color w:val="010000"/>
        </w:rPr>
        <w:t xml:space="preserve"> </w:t>
      </w:r>
      <w:r w:rsidRPr="000D313E">
        <w:rPr>
          <w:color w:val="010000"/>
        </w:rPr>
        <w:t>Anayasa Mahkemesinin 22/9/2022 tarihinde yapmış olduğu toplantıda başvuru incelenip gereği düşünüldü:</w:t>
      </w:r>
    </w:p>
    <w:p w:rsidR="002E79DF" w:rsidRPr="000D313E" w:rsidRDefault="001652CD" w:rsidP="000D313E">
      <w:pPr>
        <w:widowControl/>
        <w:suppressAutoHyphens w:val="0"/>
        <w:spacing w:after="200"/>
        <w:ind w:left="283" w:right="283" w:firstLine="567"/>
        <w:jc w:val="both"/>
        <w:rPr>
          <w:color w:val="010000"/>
        </w:rPr>
      </w:pPr>
      <w:r w:rsidRPr="000D313E">
        <w:rPr>
          <w:b/>
          <w:color w:val="010000"/>
        </w:rPr>
        <w:t>A.</w:t>
      </w:r>
      <w:r w:rsidR="000D313E" w:rsidRPr="000D313E">
        <w:rPr>
          <w:color w:val="010000"/>
        </w:rPr>
        <w:t xml:space="preserve"> </w:t>
      </w:r>
      <w:r w:rsidRPr="000D313E">
        <w:rPr>
          <w:b/>
          <w:color w:val="010000"/>
        </w:rPr>
        <w:t>Başvurucunun İddiaları</w:t>
      </w:r>
    </w:p>
    <w:p w:rsidR="002E79DF" w:rsidRPr="000D313E" w:rsidRDefault="001652CD" w:rsidP="000D313E">
      <w:pPr>
        <w:widowControl/>
        <w:suppressAutoHyphens w:val="0"/>
        <w:spacing w:after="200"/>
        <w:ind w:left="283" w:right="283" w:firstLine="567"/>
        <w:jc w:val="both"/>
        <w:rPr>
          <w:color w:val="010000"/>
        </w:rPr>
      </w:pPr>
      <w:r w:rsidRPr="000D313E">
        <w:rPr>
          <w:color w:val="010000"/>
        </w:rPr>
        <w:t>14.</w:t>
      </w:r>
      <w:r w:rsidR="000D313E" w:rsidRPr="000D313E">
        <w:rPr>
          <w:color w:val="010000"/>
        </w:rPr>
        <w:t xml:space="preserve"> </w:t>
      </w:r>
      <w:r w:rsidRPr="000D313E">
        <w:rPr>
          <w:color w:val="010000"/>
        </w:rPr>
        <w:t>Başvurucu, gerekli harç ve masrafları yatırdığını ancak eksik masraf ve ücretin kendisi tarafından belirlenmesinin mümkün olmaması sebebiyle 2004 sayılı Kanun'un 128/a maddesinin uygulanamayacağını ve Mahkeme tarafından ilgili masraflara ilişkin ara kararı verilmeden davanın reddedilemeyeceğini belirterek adil yargılanma hakkının ihlal edildiğini ileri sürmüştür.</w:t>
      </w:r>
    </w:p>
    <w:p w:rsidR="002E79DF" w:rsidRPr="000D313E" w:rsidRDefault="001652CD" w:rsidP="000D313E">
      <w:pPr>
        <w:widowControl/>
        <w:suppressAutoHyphens w:val="0"/>
        <w:spacing w:after="200"/>
        <w:ind w:left="283" w:right="283" w:firstLine="567"/>
        <w:jc w:val="both"/>
        <w:rPr>
          <w:color w:val="010000"/>
        </w:rPr>
      </w:pPr>
      <w:r w:rsidRPr="000D313E">
        <w:rPr>
          <w:b/>
          <w:color w:val="010000"/>
        </w:rPr>
        <w:t>B.</w:t>
      </w:r>
      <w:r w:rsidR="000D313E" w:rsidRPr="000D313E">
        <w:rPr>
          <w:color w:val="010000"/>
        </w:rPr>
        <w:t xml:space="preserve"> </w:t>
      </w:r>
      <w:r w:rsidRPr="000D313E">
        <w:rPr>
          <w:b/>
          <w:color w:val="010000"/>
        </w:rPr>
        <w:t>Değerlendirme</w:t>
      </w:r>
    </w:p>
    <w:p w:rsidR="002E79DF" w:rsidRPr="000D313E" w:rsidRDefault="001652CD" w:rsidP="000D313E">
      <w:pPr>
        <w:pStyle w:val="edf1393440552765"/>
        <w:widowControl/>
        <w:suppressAutoHyphens w:val="0"/>
        <w:spacing w:after="200"/>
        <w:ind w:left="283" w:right="283" w:firstLine="567"/>
        <w:jc w:val="both"/>
        <w:rPr>
          <w:rFonts w:cs="Times New Roman"/>
          <w:color w:val="010000"/>
        </w:rPr>
      </w:pPr>
      <w:r w:rsidRPr="000D313E">
        <w:rPr>
          <w:rFonts w:cs="Times New Roman"/>
          <w:color w:val="010000"/>
        </w:rPr>
        <w:t>15.</w:t>
      </w:r>
      <w:r w:rsidR="000D313E" w:rsidRPr="000D313E">
        <w:rPr>
          <w:rFonts w:cs="Times New Roman"/>
          <w:color w:val="010000"/>
        </w:rPr>
        <w:t xml:space="preserve"> </w:t>
      </w:r>
      <w:r w:rsidRPr="000D313E">
        <w:rPr>
          <w:rFonts w:cs="Times New Roman"/>
          <w:color w:val="010000"/>
        </w:rPr>
        <w:t>Anayasa Mahkemesi, olayların başvurucu tarafından yapılan hukuki nitelendirmesi ile bağlı olmayıp olay ve olguların hukuki tavsifini kendisi takdir eder (</w:t>
      </w:r>
      <w:r w:rsidRPr="000D313E">
        <w:rPr>
          <w:rFonts w:cs="Times New Roman"/>
          <w:i/>
          <w:iCs/>
          <w:color w:val="010000"/>
        </w:rPr>
        <w:t>Tahir Canan</w:t>
      </w:r>
      <w:r w:rsidRPr="000D313E">
        <w:rPr>
          <w:rFonts w:cs="Times New Roman"/>
          <w:color w:val="010000"/>
        </w:rPr>
        <w:t xml:space="preserve">, B. No: 2012/969, 18/9/2013, § 16). Başvurucunun şikâyetlerinin özü, kıymet takdirine itiraz davasında davanın açılmasından sonra yedi gün içinde gerekli masraf ve ücretlerin yatırılmadığı gerekçesiyle davanın esasının incelenmemesidir. Bu itibarla başvurucunun ihlal iddiaları adil yargılanma hakkının güvencelerinden biri olan mahkemeye erişim hakkı kapsamında incelenmiştir. </w:t>
      </w:r>
    </w:p>
    <w:p w:rsidR="002E79DF" w:rsidRPr="000D313E" w:rsidRDefault="001652CD" w:rsidP="000D313E">
      <w:pPr>
        <w:pStyle w:val="edf1393440552765"/>
        <w:widowControl/>
        <w:suppressAutoHyphens w:val="0"/>
        <w:spacing w:after="200"/>
        <w:ind w:left="283" w:right="283" w:firstLine="567"/>
        <w:jc w:val="both"/>
        <w:rPr>
          <w:rFonts w:cs="Times New Roman"/>
          <w:color w:val="010000"/>
        </w:rPr>
      </w:pPr>
      <w:r w:rsidRPr="000D313E">
        <w:rPr>
          <w:rFonts w:cs="Times New Roman"/>
          <w:b/>
          <w:color w:val="010000"/>
        </w:rPr>
        <w:t>1.</w:t>
      </w:r>
      <w:r w:rsidR="000D313E" w:rsidRPr="000D313E">
        <w:rPr>
          <w:rFonts w:cs="Times New Roman"/>
          <w:color w:val="010000"/>
        </w:rPr>
        <w:t xml:space="preserve"> </w:t>
      </w:r>
      <w:r w:rsidRPr="000D313E">
        <w:rPr>
          <w:rFonts w:cs="Times New Roman"/>
          <w:b/>
          <w:color w:val="010000"/>
        </w:rPr>
        <w:t>Kabul Edilebilirlik Yönünden</w:t>
      </w:r>
    </w:p>
    <w:p w:rsidR="002E79DF" w:rsidRPr="000D313E" w:rsidRDefault="001652CD" w:rsidP="000D313E">
      <w:pPr>
        <w:widowControl/>
        <w:suppressAutoHyphens w:val="0"/>
        <w:spacing w:after="200"/>
        <w:ind w:left="283" w:right="283" w:firstLine="567"/>
        <w:jc w:val="both"/>
        <w:rPr>
          <w:color w:val="010000"/>
        </w:rPr>
      </w:pPr>
      <w:r w:rsidRPr="000D313E">
        <w:rPr>
          <w:color w:val="010000"/>
        </w:rPr>
        <w:t>16.</w:t>
      </w:r>
      <w:r w:rsidR="000D313E" w:rsidRPr="000D313E">
        <w:rPr>
          <w:color w:val="010000"/>
        </w:rPr>
        <w:t xml:space="preserve"> </w:t>
      </w:r>
      <w:r w:rsidRPr="000D313E">
        <w:rPr>
          <w:color w:val="010000"/>
        </w:rPr>
        <w:t>Açıkça dayanaktan yoksun olmadığı ve kabul edilemezliğine karar verilmesini gerektirecek başka bir neden de bulunmadığı anlaşılan başvurunun kabul edilebilir olduğuna karar verilmesi gerekir.</w:t>
      </w:r>
    </w:p>
    <w:p w:rsidR="002E79DF" w:rsidRPr="000D313E" w:rsidRDefault="001652CD" w:rsidP="000D313E">
      <w:pPr>
        <w:widowControl/>
        <w:suppressAutoHyphens w:val="0"/>
        <w:spacing w:after="200"/>
        <w:ind w:left="283" w:right="283" w:firstLine="567"/>
        <w:jc w:val="both"/>
        <w:rPr>
          <w:color w:val="010000"/>
        </w:rPr>
      </w:pPr>
      <w:r w:rsidRPr="000D313E">
        <w:rPr>
          <w:b/>
          <w:color w:val="010000"/>
        </w:rPr>
        <w:t>2.</w:t>
      </w:r>
      <w:r w:rsidR="000D313E" w:rsidRPr="000D313E">
        <w:rPr>
          <w:b/>
          <w:color w:val="010000"/>
        </w:rPr>
        <w:t xml:space="preserve"> </w:t>
      </w:r>
      <w:r w:rsidRPr="000D313E">
        <w:rPr>
          <w:b/>
          <w:color w:val="010000"/>
        </w:rPr>
        <w:t>Esas Yönünden</w:t>
      </w:r>
    </w:p>
    <w:p w:rsidR="002E79DF" w:rsidRPr="000D313E" w:rsidRDefault="001652CD" w:rsidP="000D313E">
      <w:pPr>
        <w:widowControl/>
        <w:suppressAutoHyphens w:val="0"/>
        <w:spacing w:after="200"/>
        <w:ind w:left="283" w:right="283" w:firstLine="567"/>
        <w:jc w:val="both"/>
        <w:rPr>
          <w:color w:val="010000"/>
        </w:rPr>
      </w:pPr>
      <w:r w:rsidRPr="000D313E">
        <w:rPr>
          <w:b/>
          <w:color w:val="010000"/>
        </w:rPr>
        <w:t>a.</w:t>
      </w:r>
      <w:r w:rsidR="000D313E" w:rsidRPr="000D313E">
        <w:rPr>
          <w:color w:val="010000"/>
        </w:rPr>
        <w:t xml:space="preserve"> </w:t>
      </w:r>
      <w:r w:rsidRPr="000D313E">
        <w:rPr>
          <w:b/>
          <w:color w:val="010000"/>
        </w:rPr>
        <w:t>Hakkın Kapsamı ve Müdahalenin Varlığı</w:t>
      </w:r>
    </w:p>
    <w:p w:rsidR="002E79DF" w:rsidRPr="000D313E" w:rsidRDefault="001652CD" w:rsidP="000D313E">
      <w:pPr>
        <w:widowControl/>
        <w:suppressAutoHyphens w:val="0"/>
        <w:spacing w:after="200"/>
        <w:ind w:left="283" w:right="283" w:firstLine="567"/>
        <w:jc w:val="both"/>
        <w:rPr>
          <w:color w:val="010000"/>
        </w:rPr>
      </w:pPr>
      <w:r w:rsidRPr="000D313E">
        <w:rPr>
          <w:color w:val="010000"/>
        </w:rPr>
        <w:t>17.</w:t>
      </w:r>
      <w:r w:rsidR="000D313E" w:rsidRPr="000D313E">
        <w:rPr>
          <w:color w:val="010000"/>
        </w:rPr>
        <w:t xml:space="preserve"> </w:t>
      </w:r>
      <w:r w:rsidRPr="000D313E">
        <w:rPr>
          <w:color w:val="010000"/>
        </w:rPr>
        <w:t>Anayasa'nın 36. maddesinin birinci fıkrasında, herkesin yargı mercileri önünde davacı veya davalı olarak iddiada bulunma ve savunma hakkına sahip olduğu belirtilmiştir. Dolayısıyla mahkemeye erişim hakkı, Anayasa'nın 36. maddesinde güvence altına alınan hak arama özgürlüğünün bir unsurudur (</w:t>
      </w:r>
      <w:proofErr w:type="spellStart"/>
      <w:r w:rsidRPr="000D313E">
        <w:rPr>
          <w:i/>
          <w:iCs/>
          <w:color w:val="010000"/>
        </w:rPr>
        <w:t>Özbakım</w:t>
      </w:r>
      <w:proofErr w:type="spellEnd"/>
      <w:r w:rsidRPr="000D313E">
        <w:rPr>
          <w:i/>
          <w:iCs/>
          <w:color w:val="010000"/>
        </w:rPr>
        <w:t xml:space="preserve"> Özel Sağlık </w:t>
      </w:r>
      <w:proofErr w:type="spellStart"/>
      <w:r w:rsidRPr="000D313E">
        <w:rPr>
          <w:i/>
          <w:iCs/>
          <w:color w:val="010000"/>
        </w:rPr>
        <w:t>Hiz</w:t>
      </w:r>
      <w:proofErr w:type="spellEnd"/>
      <w:r w:rsidRPr="000D313E">
        <w:rPr>
          <w:i/>
          <w:iCs/>
          <w:color w:val="010000"/>
        </w:rPr>
        <w:t>. İnş. Tur. San. ve Tic. Ltd. Şti.,</w:t>
      </w:r>
      <w:r w:rsidRPr="000D313E">
        <w:rPr>
          <w:color w:val="010000"/>
        </w:rPr>
        <w:t xml:space="preserve"> B. No: 2014/13156, 20/4/2017, § 34; </w:t>
      </w:r>
      <w:r w:rsidRPr="000D313E">
        <w:rPr>
          <w:i/>
          <w:iCs/>
          <w:color w:val="010000"/>
        </w:rPr>
        <w:t xml:space="preserve">Mehmet </w:t>
      </w:r>
      <w:proofErr w:type="spellStart"/>
      <w:r w:rsidRPr="000D313E">
        <w:rPr>
          <w:i/>
          <w:iCs/>
          <w:color w:val="010000"/>
        </w:rPr>
        <w:t>Ziyat</w:t>
      </w:r>
      <w:proofErr w:type="spellEnd"/>
      <w:r w:rsidRPr="000D313E">
        <w:rPr>
          <w:i/>
          <w:iCs/>
          <w:color w:val="010000"/>
        </w:rPr>
        <w:t xml:space="preserve"> Özdemir,</w:t>
      </w:r>
      <w:r w:rsidRPr="000D313E">
        <w:rPr>
          <w:color w:val="010000"/>
        </w:rPr>
        <w:t xml:space="preserve"> B. No: 2014/13899, 12/6/2018, § 37).</w:t>
      </w:r>
    </w:p>
    <w:p w:rsidR="002E79DF" w:rsidRPr="000D313E" w:rsidRDefault="001652CD" w:rsidP="000D313E">
      <w:pPr>
        <w:widowControl/>
        <w:suppressAutoHyphens w:val="0"/>
        <w:spacing w:after="200"/>
        <w:ind w:left="283" w:right="283" w:firstLine="567"/>
        <w:jc w:val="both"/>
        <w:rPr>
          <w:color w:val="010000"/>
        </w:rPr>
      </w:pPr>
      <w:r w:rsidRPr="000D313E">
        <w:rPr>
          <w:color w:val="010000"/>
        </w:rPr>
        <w:t>18.</w:t>
      </w:r>
      <w:r w:rsidR="000D313E" w:rsidRPr="000D313E">
        <w:rPr>
          <w:color w:val="010000"/>
        </w:rPr>
        <w:t xml:space="preserve"> </w:t>
      </w:r>
      <w:r w:rsidRPr="000D313E">
        <w:rPr>
          <w:color w:val="010000"/>
        </w:rPr>
        <w:t xml:space="preserve">Anayasa'nın 36. maddesinde güvence altına alınan hak arama özgürlüğü, bir temel hak olmanın yanında diğer temel hak ve özgürlüklerden gereken şekilde yararlanılmayı ve bunların korunmasını sağlayan en etkili güvencelerden biridir. Bu </w:t>
      </w:r>
      <w:r w:rsidRPr="000D313E">
        <w:rPr>
          <w:color w:val="010000"/>
        </w:rPr>
        <w:lastRenderedPageBreak/>
        <w:t>bakımdan davanın bir mahkeme tarafından görülebilmesi ve kişinin adil yargılanma hakkı kapsamına giren güvencelerden faydalanabilmesi için ilk olarak kişiye iddialarını ortaya koyma imkânının tanınması gerekir. Diğer bir ifadeyle dava yoksa adil yargılanma hakkının sağladığı güvencelerden yararlanmak mümkün olmaz (</w:t>
      </w:r>
      <w:proofErr w:type="spellStart"/>
      <w:r w:rsidRPr="000D313E">
        <w:rPr>
          <w:i/>
          <w:iCs/>
          <w:color w:val="010000"/>
        </w:rPr>
        <w:t>Mohammed</w:t>
      </w:r>
      <w:proofErr w:type="spellEnd"/>
      <w:r w:rsidRPr="000D313E">
        <w:rPr>
          <w:i/>
          <w:iCs/>
          <w:color w:val="010000"/>
        </w:rPr>
        <w:t xml:space="preserve"> </w:t>
      </w:r>
      <w:proofErr w:type="spellStart"/>
      <w:r w:rsidRPr="000D313E">
        <w:rPr>
          <w:i/>
          <w:iCs/>
          <w:color w:val="010000"/>
        </w:rPr>
        <w:t>Aynosah</w:t>
      </w:r>
      <w:proofErr w:type="spellEnd"/>
      <w:r w:rsidRPr="000D313E">
        <w:rPr>
          <w:i/>
          <w:iCs/>
          <w:color w:val="010000"/>
        </w:rPr>
        <w:t>,</w:t>
      </w:r>
      <w:r w:rsidRPr="000D313E">
        <w:rPr>
          <w:color w:val="010000"/>
        </w:rPr>
        <w:t xml:space="preserve"> B. No: 2013/8896, 23/2/2016, § 33).</w:t>
      </w:r>
    </w:p>
    <w:p w:rsidR="002E79DF" w:rsidRPr="000D313E" w:rsidRDefault="001652CD" w:rsidP="000D313E">
      <w:pPr>
        <w:widowControl/>
        <w:suppressAutoHyphens w:val="0"/>
        <w:spacing w:after="200"/>
        <w:ind w:left="283" w:right="283" w:firstLine="567"/>
        <w:jc w:val="both"/>
        <w:rPr>
          <w:color w:val="010000"/>
        </w:rPr>
      </w:pPr>
      <w:r w:rsidRPr="000D313E">
        <w:rPr>
          <w:color w:val="010000"/>
        </w:rPr>
        <w:t>19.</w:t>
      </w:r>
      <w:r w:rsidR="000D313E" w:rsidRPr="000D313E">
        <w:rPr>
          <w:color w:val="010000"/>
        </w:rPr>
        <w:t xml:space="preserve"> </w:t>
      </w:r>
      <w:r w:rsidRPr="000D313E">
        <w:rPr>
          <w:color w:val="010000"/>
        </w:rPr>
        <w:t>Başvuruya konu davada, davanın açılmasından sonra yedi gün içinde gerekli masraf ve ücretlerin yatırılmadığı gerekçesiyle esasının incelenmemesi nedeniyle başvurucunun mahkemeye erişim hakkına yönelik bir müdahalenin bulunduğu görülmektedir.</w:t>
      </w:r>
    </w:p>
    <w:p w:rsidR="002E79DF" w:rsidRPr="000D313E" w:rsidRDefault="001652CD" w:rsidP="000D313E">
      <w:pPr>
        <w:pStyle w:val="edf1450279197849"/>
        <w:widowControl/>
        <w:suppressAutoHyphens w:val="0"/>
        <w:spacing w:after="200"/>
        <w:ind w:left="283" w:right="283" w:firstLine="567"/>
        <w:jc w:val="both"/>
        <w:rPr>
          <w:rFonts w:cs="Times New Roman"/>
          <w:color w:val="010000"/>
        </w:rPr>
      </w:pPr>
      <w:r w:rsidRPr="000D313E">
        <w:rPr>
          <w:rFonts w:cs="Times New Roman"/>
          <w:b/>
          <w:color w:val="010000"/>
        </w:rPr>
        <w:t>b.</w:t>
      </w:r>
      <w:r w:rsidR="000D313E" w:rsidRPr="000D313E">
        <w:rPr>
          <w:rFonts w:cs="Times New Roman"/>
          <w:color w:val="010000"/>
        </w:rPr>
        <w:t xml:space="preserve"> </w:t>
      </w:r>
      <w:r w:rsidRPr="000D313E">
        <w:rPr>
          <w:rFonts w:cs="Times New Roman"/>
          <w:b/>
          <w:color w:val="010000"/>
        </w:rPr>
        <w:t>Müdahalenin İhlal Oluşturup Oluşturmadığı</w:t>
      </w:r>
    </w:p>
    <w:p w:rsidR="002E79DF" w:rsidRPr="000D313E" w:rsidRDefault="001652CD" w:rsidP="000D313E">
      <w:pPr>
        <w:pStyle w:val="edf1450279197849"/>
        <w:widowControl/>
        <w:suppressAutoHyphens w:val="0"/>
        <w:spacing w:after="200"/>
        <w:ind w:left="283" w:right="283" w:firstLine="567"/>
        <w:jc w:val="both"/>
        <w:rPr>
          <w:rFonts w:cs="Times New Roman"/>
          <w:color w:val="010000"/>
        </w:rPr>
      </w:pPr>
      <w:r w:rsidRPr="000D313E">
        <w:rPr>
          <w:rFonts w:cs="Times New Roman"/>
          <w:color w:val="010000"/>
        </w:rPr>
        <w:t>20.</w:t>
      </w:r>
      <w:r w:rsidR="000D313E" w:rsidRPr="000D313E">
        <w:rPr>
          <w:rFonts w:cs="Times New Roman"/>
          <w:color w:val="010000"/>
        </w:rPr>
        <w:t xml:space="preserve"> </w:t>
      </w:r>
      <w:r w:rsidRPr="000D313E">
        <w:rPr>
          <w:rFonts w:cs="Times New Roman"/>
          <w:color w:val="010000"/>
        </w:rPr>
        <w:t>Anayasa'nın 13. maddesinin ilgili kısmı şöyledir:</w:t>
      </w:r>
    </w:p>
    <w:p w:rsidR="002E79DF" w:rsidRPr="000D313E" w:rsidRDefault="001652CD" w:rsidP="000D313E">
      <w:pPr>
        <w:pStyle w:val="edf1450279197849"/>
        <w:widowControl/>
        <w:suppressAutoHyphens w:val="0"/>
        <w:spacing w:after="200"/>
        <w:ind w:left="283" w:right="283" w:firstLine="567"/>
        <w:jc w:val="both"/>
        <w:rPr>
          <w:rFonts w:cs="Times New Roman"/>
          <w:color w:val="010000"/>
        </w:rPr>
      </w:pPr>
      <w:r w:rsidRPr="000D313E">
        <w:rPr>
          <w:rFonts w:cs="Times New Roman"/>
          <w:i/>
          <w:iCs/>
          <w:color w:val="010000"/>
          <w:sz w:val="22"/>
        </w:rPr>
        <w:t>"Temel hak ve hürriyetler, ...yalnızca Anayasanın ilgili maddelerinde belirtilen sebeplere bağlı olarak ve ancak kanunla sınırlanabilir. Bu sınırlamalar, ...ölçülülük ilkesine aykırı olamaz."</w:t>
      </w:r>
    </w:p>
    <w:p w:rsidR="002E79DF" w:rsidRPr="000D313E" w:rsidRDefault="001652CD" w:rsidP="000D313E">
      <w:pPr>
        <w:pStyle w:val="edf1450279197849"/>
        <w:widowControl/>
        <w:suppressAutoHyphens w:val="0"/>
        <w:spacing w:after="200"/>
        <w:ind w:left="283" w:right="283" w:firstLine="567"/>
        <w:jc w:val="both"/>
        <w:rPr>
          <w:rFonts w:cs="Times New Roman"/>
          <w:color w:val="010000"/>
        </w:rPr>
      </w:pPr>
      <w:r w:rsidRPr="000D313E">
        <w:rPr>
          <w:rFonts w:cs="Times New Roman"/>
          <w:color w:val="010000"/>
        </w:rPr>
        <w:t>21.</w:t>
      </w:r>
      <w:r w:rsidR="000D313E" w:rsidRPr="000D313E">
        <w:rPr>
          <w:rFonts w:cs="Times New Roman"/>
          <w:color w:val="010000"/>
        </w:rPr>
        <w:t xml:space="preserve"> </w:t>
      </w:r>
      <w:r w:rsidRPr="000D313E">
        <w:rPr>
          <w:rFonts w:cs="Times New Roman"/>
          <w:color w:val="010000"/>
        </w:rPr>
        <w:t>Yukarıda anılan müdahale, Anayasa’nın 13. maddesinde belirtilen koşullara uygun olmadığı takdirde Anayasa’nın 36. maddesinin ihlalini teşkil edecektir. Bu sebeple müdahalenin Anayasa’nın 13. maddesinde öngörülen ve somut başvuruya uygun düşen, kanun tarafından öngörülme, haklı bir sebebe dayanma, ölçülülük ilkesine aykırı olmama koşullarına uygun olup olmadığının belirlenmesi gerekir.</w:t>
      </w:r>
    </w:p>
    <w:p w:rsidR="002E79DF" w:rsidRPr="000D313E" w:rsidRDefault="001652CD" w:rsidP="000D313E">
      <w:pPr>
        <w:pStyle w:val="edf1450279197849"/>
        <w:widowControl/>
        <w:suppressAutoHyphens w:val="0"/>
        <w:spacing w:after="200"/>
        <w:ind w:left="283" w:right="283" w:firstLine="567"/>
        <w:jc w:val="both"/>
        <w:rPr>
          <w:rFonts w:cs="Times New Roman"/>
          <w:color w:val="010000"/>
        </w:rPr>
      </w:pPr>
      <w:r w:rsidRPr="000D313E">
        <w:rPr>
          <w:rFonts w:cs="Times New Roman"/>
          <w:b/>
          <w:color w:val="010000"/>
        </w:rPr>
        <w:t>i.</w:t>
      </w:r>
      <w:r w:rsidR="000D313E" w:rsidRPr="000D313E">
        <w:rPr>
          <w:rFonts w:cs="Times New Roman"/>
          <w:color w:val="010000"/>
        </w:rPr>
        <w:t xml:space="preserve"> </w:t>
      </w:r>
      <w:r w:rsidRPr="000D313E">
        <w:rPr>
          <w:rFonts w:cs="Times New Roman"/>
          <w:b/>
          <w:color w:val="010000"/>
        </w:rPr>
        <w:t xml:space="preserve">Kanunilik </w:t>
      </w:r>
    </w:p>
    <w:p w:rsidR="002E79DF" w:rsidRPr="000D313E" w:rsidRDefault="001652CD" w:rsidP="000D313E">
      <w:pPr>
        <w:pStyle w:val="edf1450279197849"/>
        <w:widowControl/>
        <w:suppressAutoHyphens w:val="0"/>
        <w:spacing w:after="200"/>
        <w:ind w:left="283" w:right="283" w:firstLine="567"/>
        <w:jc w:val="both"/>
        <w:rPr>
          <w:rFonts w:cs="Times New Roman"/>
          <w:color w:val="010000"/>
        </w:rPr>
      </w:pPr>
      <w:r w:rsidRPr="000D313E">
        <w:rPr>
          <w:rFonts w:cs="Times New Roman"/>
          <w:color w:val="010000"/>
        </w:rPr>
        <w:t>22.</w:t>
      </w:r>
      <w:r w:rsidR="000D313E" w:rsidRPr="000D313E">
        <w:rPr>
          <w:rFonts w:cs="Times New Roman"/>
          <w:color w:val="010000"/>
        </w:rPr>
        <w:t xml:space="preserve"> </w:t>
      </w:r>
      <w:r w:rsidRPr="000D313E">
        <w:rPr>
          <w:rFonts w:cs="Times New Roman"/>
          <w:color w:val="010000"/>
        </w:rPr>
        <w:t>Somut başvuruda davanın esasının incelenmemesi yönündeki mahkeme kararının 2004 sayılı Kanun'un 128/a maddesinin birinci fıkrasına dayandığı görülmektedir. Dolayısıyla somut olayda başvurucunun mahkemeye erişim hakkına yönelik müdahalenin kanuni dayanağının mevcut olduğu anlaşılmıştır.</w:t>
      </w:r>
    </w:p>
    <w:p w:rsidR="002E79DF" w:rsidRPr="000D313E" w:rsidRDefault="001652CD" w:rsidP="000D313E">
      <w:pPr>
        <w:pStyle w:val="edf1450279197849"/>
        <w:widowControl/>
        <w:suppressAutoHyphens w:val="0"/>
        <w:spacing w:after="200"/>
        <w:ind w:left="283" w:right="283" w:firstLine="567"/>
        <w:jc w:val="both"/>
        <w:rPr>
          <w:rFonts w:cs="Times New Roman"/>
          <w:color w:val="010000"/>
        </w:rPr>
      </w:pPr>
      <w:r w:rsidRPr="000D313E">
        <w:rPr>
          <w:rFonts w:cs="Times New Roman"/>
          <w:b/>
          <w:color w:val="010000"/>
        </w:rPr>
        <w:t>ii.</w:t>
      </w:r>
      <w:r w:rsidR="000D313E" w:rsidRPr="000D313E">
        <w:rPr>
          <w:rFonts w:cs="Times New Roman"/>
          <w:color w:val="010000"/>
        </w:rPr>
        <w:t xml:space="preserve"> </w:t>
      </w:r>
      <w:r w:rsidRPr="000D313E">
        <w:rPr>
          <w:rFonts w:cs="Times New Roman"/>
          <w:b/>
          <w:color w:val="010000"/>
        </w:rPr>
        <w:t>Meşru Amaç</w:t>
      </w:r>
    </w:p>
    <w:p w:rsidR="002E79DF" w:rsidRPr="000D313E" w:rsidRDefault="001652CD" w:rsidP="000D313E">
      <w:pPr>
        <w:widowControl/>
        <w:suppressAutoHyphens w:val="0"/>
        <w:spacing w:after="200"/>
        <w:ind w:left="283" w:right="283" w:firstLine="567"/>
        <w:jc w:val="both"/>
        <w:rPr>
          <w:color w:val="010000"/>
        </w:rPr>
      </w:pPr>
      <w:r w:rsidRPr="000D313E">
        <w:rPr>
          <w:color w:val="010000"/>
        </w:rPr>
        <w:t>23.</w:t>
      </w:r>
      <w:r w:rsidR="000D313E" w:rsidRPr="000D313E">
        <w:rPr>
          <w:color w:val="010000"/>
        </w:rPr>
        <w:t xml:space="preserve"> </w:t>
      </w:r>
      <w:r w:rsidRPr="000D313E">
        <w:rPr>
          <w:color w:val="010000"/>
        </w:rPr>
        <w:t xml:space="preserve">Anayasa'nın 36. maddesinde, hak arama özgürlüğü için herhangi bir sınırlama nedeni öngörülmemiş olmakla birlikte bunun hiçbir şekilde sınırlandırılması mümkün olmayan mutlak bir hak olduğu söylenemez. Özel sınırlama nedeni öngörülmemiş hakların da hakkın doğasından kaynaklanan bazı sınırları bulunduğu kabul edilmektedir. Ayrıca hakkı düzenleyen maddede herhangi bir sınırlama nedenine yer verilmemiş olsa da Anayasa'nın başka maddelerinde yer alan kurallara dayanarak bu hakların sınırlandırılması mümkün olabilir. Dava açma hakkının kapsamına ve kullanım koşullarına ilişkin bir kısım düzenlemelerin hak arama özgürlüğünün doğasından kaynaklanan sınırları ortaya koyan ve hakkın norm alanını belirleyen kurallar olduğu açıktır (AYM, E.2014/112, K.2014/203, 25/12/2014). </w:t>
      </w:r>
    </w:p>
    <w:p w:rsidR="002E79DF" w:rsidRPr="000D313E" w:rsidRDefault="001652CD" w:rsidP="000D313E">
      <w:pPr>
        <w:widowControl/>
        <w:suppressAutoHyphens w:val="0"/>
        <w:spacing w:after="200"/>
        <w:ind w:left="283" w:right="283" w:firstLine="567"/>
        <w:jc w:val="both"/>
        <w:rPr>
          <w:color w:val="010000"/>
        </w:rPr>
      </w:pPr>
      <w:r w:rsidRPr="000D313E">
        <w:rPr>
          <w:color w:val="010000"/>
        </w:rPr>
        <w:t>24.</w:t>
      </w:r>
      <w:r w:rsidR="000D313E" w:rsidRPr="000D313E">
        <w:rPr>
          <w:color w:val="010000"/>
        </w:rPr>
        <w:t xml:space="preserve"> </w:t>
      </w:r>
      <w:r w:rsidRPr="000D313E">
        <w:rPr>
          <w:color w:val="010000"/>
        </w:rPr>
        <w:t>Somut olayda başvurucunun açtığı kıymet takdirine itiraz davasının keşif ve bilirkişi incelemesi için gerekli masrafların yedi günlük sürede yatırılmaması nedeniyle reddine karar verilmiştir. Yargılama giderlerinin ödenmemesi nedeniyle kıymet takdirine itiraz davasının reddedilmesine hükmedilmesinin öngörülmesindeki amaç, kıymet takdirine itiraz davasının sürüncemede kalmasının önlenmesi ve dolayısıyla yargılamaların makul süre içinde tamamlanmasının hedeflenmesi olup anayasal açıdan meşru bir amaca dayandığı sonucuna ulaşılmıştır.</w:t>
      </w:r>
    </w:p>
    <w:p w:rsidR="002E79DF" w:rsidRPr="000D313E" w:rsidRDefault="001652CD" w:rsidP="000D313E">
      <w:pPr>
        <w:pStyle w:val="edf1450279197849"/>
        <w:widowControl/>
        <w:suppressAutoHyphens w:val="0"/>
        <w:spacing w:after="200"/>
        <w:ind w:left="283" w:right="283" w:firstLine="567"/>
        <w:jc w:val="both"/>
        <w:rPr>
          <w:rFonts w:cs="Times New Roman"/>
          <w:color w:val="010000"/>
        </w:rPr>
      </w:pPr>
      <w:r w:rsidRPr="000D313E">
        <w:rPr>
          <w:rFonts w:cs="Times New Roman"/>
          <w:b/>
          <w:color w:val="010000"/>
        </w:rPr>
        <w:t>iii.</w:t>
      </w:r>
      <w:r w:rsidR="000D313E" w:rsidRPr="000D313E">
        <w:rPr>
          <w:rFonts w:cs="Times New Roman"/>
          <w:color w:val="010000"/>
        </w:rPr>
        <w:t xml:space="preserve"> </w:t>
      </w:r>
      <w:r w:rsidRPr="000D313E">
        <w:rPr>
          <w:rFonts w:cs="Times New Roman"/>
          <w:b/>
          <w:color w:val="010000"/>
        </w:rPr>
        <w:t>Ölçülülük</w:t>
      </w:r>
    </w:p>
    <w:p w:rsidR="002E79DF" w:rsidRPr="000D313E" w:rsidRDefault="000D313E" w:rsidP="000D313E">
      <w:pPr>
        <w:widowControl/>
        <w:suppressAutoHyphens w:val="0"/>
        <w:spacing w:after="200"/>
        <w:ind w:left="283" w:right="283" w:firstLine="567"/>
        <w:jc w:val="both"/>
        <w:rPr>
          <w:color w:val="010000"/>
        </w:rPr>
      </w:pPr>
      <w:r w:rsidRPr="000D313E">
        <w:rPr>
          <w:b/>
          <w:color w:val="010000"/>
        </w:rPr>
        <w:t xml:space="preserve"> </w:t>
      </w:r>
      <w:r w:rsidR="001652CD" w:rsidRPr="000D313E">
        <w:rPr>
          <w:b/>
          <w:color w:val="010000"/>
        </w:rPr>
        <w:t>(1)</w:t>
      </w:r>
      <w:r w:rsidRPr="000D313E">
        <w:rPr>
          <w:color w:val="010000"/>
        </w:rPr>
        <w:t xml:space="preserve"> </w:t>
      </w:r>
      <w:r w:rsidR="001652CD" w:rsidRPr="000D313E">
        <w:rPr>
          <w:b/>
          <w:color w:val="010000"/>
        </w:rPr>
        <w:t>Genel İlkeler</w:t>
      </w:r>
    </w:p>
    <w:p w:rsidR="002E79DF" w:rsidRPr="000D313E" w:rsidRDefault="001652CD" w:rsidP="000D313E">
      <w:pPr>
        <w:pStyle w:val="edf1450279197849"/>
        <w:widowControl/>
        <w:suppressAutoHyphens w:val="0"/>
        <w:spacing w:after="200"/>
        <w:ind w:left="283" w:right="283" w:firstLine="567"/>
        <w:jc w:val="both"/>
        <w:rPr>
          <w:rFonts w:cs="Times New Roman"/>
          <w:color w:val="010000"/>
        </w:rPr>
      </w:pPr>
      <w:r w:rsidRPr="000D313E">
        <w:rPr>
          <w:rFonts w:cs="Times New Roman"/>
          <w:color w:val="010000"/>
        </w:rPr>
        <w:lastRenderedPageBreak/>
        <w:t>25.</w:t>
      </w:r>
      <w:r w:rsidR="000D313E" w:rsidRPr="000D313E">
        <w:rPr>
          <w:rFonts w:cs="Times New Roman"/>
          <w:color w:val="010000"/>
        </w:rPr>
        <w:t xml:space="preserve"> </w:t>
      </w:r>
      <w:r w:rsidRPr="000D313E">
        <w:rPr>
          <w:rFonts w:cs="Times New Roman"/>
          <w:color w:val="010000"/>
        </w:rPr>
        <w:t>Anayasa'nın 36. maddesinde güvence altına alınan mahkemeye erişim hakkı mutlak olmayıp sınırlamalara konu olabilir. Ancak Anayasa'nın 13. maddesinde yer alan ölçülülük ilkesi uyarınca anılan sınırlamaların mahkemeye erişimi imkânsız hâle getirmemesi ya da aşırı derecede zorlaştırmaması gerekir. Kişinin mahkemeye başvurmasını engelleyen hukuki veya fiilî sınırlamalar mahkemeye erişim hakkını ihlal edebilir (</w:t>
      </w:r>
      <w:r w:rsidRPr="000D313E">
        <w:rPr>
          <w:rFonts w:cs="Times New Roman"/>
          <w:i/>
          <w:iCs/>
          <w:color w:val="010000"/>
        </w:rPr>
        <w:t>Özkan Şen</w:t>
      </w:r>
      <w:r w:rsidRPr="000D313E">
        <w:rPr>
          <w:rFonts w:cs="Times New Roman"/>
          <w:color w:val="010000"/>
        </w:rPr>
        <w:t>, B. No: 2012/791, 7/11/2013, § 52).</w:t>
      </w:r>
    </w:p>
    <w:p w:rsidR="002E79DF" w:rsidRPr="000D313E" w:rsidRDefault="001652CD" w:rsidP="000D313E">
      <w:pPr>
        <w:pStyle w:val="edf1450279197849"/>
        <w:widowControl/>
        <w:suppressAutoHyphens w:val="0"/>
        <w:spacing w:after="200"/>
        <w:ind w:left="283" w:right="283" w:firstLine="567"/>
        <w:jc w:val="both"/>
        <w:rPr>
          <w:rFonts w:cs="Times New Roman"/>
          <w:color w:val="010000"/>
        </w:rPr>
      </w:pPr>
      <w:r w:rsidRPr="000D313E">
        <w:rPr>
          <w:rFonts w:cs="Times New Roman"/>
          <w:color w:val="010000"/>
        </w:rPr>
        <w:t>26.</w:t>
      </w:r>
      <w:r w:rsidR="000D313E" w:rsidRPr="000D313E">
        <w:rPr>
          <w:rFonts w:cs="Times New Roman"/>
          <w:color w:val="010000"/>
        </w:rPr>
        <w:t xml:space="preserve"> </w:t>
      </w:r>
      <w:r w:rsidRPr="000D313E">
        <w:rPr>
          <w:rFonts w:cs="Times New Roman"/>
          <w:color w:val="010000"/>
        </w:rPr>
        <w:t>Anayasa'nın 13. maddesi uyarınca hak ve özgürlüklerin sınırlandırılmasında dikkate alınacak ölçütlerden biri olan ölçülülük hukuk devleti ilkesinden doğmaktadır. Hukuk devletinde hak ve özgürlüklerin sınırlandırılması istisnai bir yetki olduğundan bu yetki ancak durumun gerektirdiği ölçüde kullanılması koşuluyla haklı bir temele oturabilir. Bireylerin hak ve özgürlüklerinin somut koşulların gerektirdiğinden daha fazla sınırlandırılması kamu otoritelerine tanınan yetkinin aşılması anlamına geleceğinden hukuk devletiyle bağdaşmaz (AYM, E.2013/95, K.2014/176, 13/11/2014).</w:t>
      </w:r>
    </w:p>
    <w:p w:rsidR="002E79DF" w:rsidRPr="000D313E" w:rsidRDefault="001652CD" w:rsidP="000D313E">
      <w:pPr>
        <w:widowControl/>
        <w:suppressAutoHyphens w:val="0"/>
        <w:spacing w:after="200"/>
        <w:ind w:left="283" w:right="283" w:firstLine="567"/>
        <w:jc w:val="both"/>
        <w:rPr>
          <w:color w:val="010000"/>
        </w:rPr>
      </w:pPr>
      <w:r w:rsidRPr="000D313E">
        <w:rPr>
          <w:color w:val="010000"/>
        </w:rPr>
        <w:t>27.</w:t>
      </w:r>
      <w:r w:rsidR="000D313E" w:rsidRPr="000D313E">
        <w:rPr>
          <w:color w:val="010000"/>
        </w:rPr>
        <w:t xml:space="preserve"> </w:t>
      </w:r>
      <w:r w:rsidRPr="000D313E">
        <w:rPr>
          <w:color w:val="010000"/>
        </w:rPr>
        <w:t xml:space="preserve">Ölçülülük ilkesi öngörülen müdahalenin ulaşılmak istenen amacı gerçekleştirmeye elverişli olmasını, ulaşılmak istenen amaç bakımından müdahalenin zorunlu olmasını ve bireyin hakkına yapılan müdahale ile ulaşılmak istenen amaç arasında makul bir dengenin gözetilmesi gerekliliğini ifade etmektedir. Öngörülen tedbirin kişiyi olağan dışı ve aşırı bir yük altına sokması durumunda müdahalenin ölçülü olduğundan söz edilemez (AYM, E.2011/111, K.2012/56, 11/4/2012; E.2012/102, K.2012/207, 27/12/2012; E.2014/176, K.2015/53, 27/5/2015; E.2015/43, K.2015/101, 12/11/2015; E.2016/16, K.2016/37, 5/5/2016; E.2016/13, K.2016/127, 22/6/2016; </w:t>
      </w:r>
      <w:r w:rsidRPr="000D313E">
        <w:rPr>
          <w:i/>
          <w:iCs/>
          <w:color w:val="010000"/>
        </w:rPr>
        <w:t>Mehmet Akdoğan ve diğerleri</w:t>
      </w:r>
      <w:r w:rsidRPr="000D313E">
        <w:rPr>
          <w:color w:val="010000"/>
        </w:rPr>
        <w:t xml:space="preserve">, B. No: 2013/817, 19/12/2013, § 38). Müdahalenin ölçülülüğü değerlendirilirken ilgili yasal düzenlemelerle birlikte somut olayın koşulları ve başvurucunun tutumu da </w:t>
      </w:r>
      <w:proofErr w:type="spellStart"/>
      <w:r w:rsidRPr="000D313E">
        <w:rPr>
          <w:color w:val="010000"/>
        </w:rPr>
        <w:t>gözönünde</w:t>
      </w:r>
      <w:proofErr w:type="spellEnd"/>
      <w:r w:rsidRPr="000D313E">
        <w:rPr>
          <w:color w:val="010000"/>
        </w:rPr>
        <w:t xml:space="preserve"> bulundurulmalıdır (</w:t>
      </w:r>
      <w:r w:rsidRPr="000D313E">
        <w:rPr>
          <w:i/>
          <w:iCs/>
          <w:color w:val="010000"/>
        </w:rPr>
        <w:t>Ahmet Ersoy ve diğerleri</w:t>
      </w:r>
      <w:r w:rsidRPr="000D313E">
        <w:rPr>
          <w:color w:val="010000"/>
        </w:rPr>
        <w:t>, B. No: 2014/4212, 5/4/2017, § 50).</w:t>
      </w:r>
    </w:p>
    <w:p w:rsidR="002E79DF" w:rsidRPr="000D313E" w:rsidRDefault="001652CD" w:rsidP="000D313E">
      <w:pPr>
        <w:widowControl/>
        <w:suppressAutoHyphens w:val="0"/>
        <w:spacing w:after="200"/>
        <w:ind w:left="283" w:right="283" w:firstLine="567"/>
        <w:jc w:val="both"/>
        <w:rPr>
          <w:color w:val="010000"/>
        </w:rPr>
      </w:pPr>
      <w:r w:rsidRPr="000D313E">
        <w:rPr>
          <w:color w:val="010000"/>
        </w:rPr>
        <w:t>28. Mahkemeye erişim hakkının sınırlanması için seçilen aracın öngörülen amaca ulaşılabilmesi bakımından elverişli olması gerekir. Ayrıca seçilen araç bu hakkı en az zedeleyici nitelikte olmalıdır. Bununla birlikte hakkı daha az zedeleyen aracın tercih edilmesi gerektiğinin söylenebilmesi için söz konusu araç, aynı amacı gerçekleştirmeye uygun olmalıdır. Daha hafif sınırlama teşkil eden aracın tercih edilmesi hâlinde öngörülen amaç gerçekleşmeyecek ise daha ağır müdahale oluşturan aracın seçimi hususundaki tercih, Anayasa’ya aykırı olmaz. Bunun dışında hangi müdahale aracının tercih edileceği hususunda kamu otoritelerinin belli ölçüde takdir yetkisi bulunmaktadır (</w:t>
      </w:r>
      <w:r w:rsidRPr="000D313E">
        <w:rPr>
          <w:i/>
          <w:iCs/>
          <w:color w:val="010000"/>
        </w:rPr>
        <w:t>Mustafa Berberoğlu,</w:t>
      </w:r>
      <w:r w:rsidRPr="000D313E">
        <w:rPr>
          <w:color w:val="010000"/>
        </w:rPr>
        <w:t xml:space="preserve"> B. No: 2015/3324, 26/2/2020, § 48). </w:t>
      </w:r>
    </w:p>
    <w:p w:rsidR="002E79DF" w:rsidRPr="000D313E" w:rsidRDefault="001652CD" w:rsidP="000D313E">
      <w:pPr>
        <w:widowControl/>
        <w:suppressAutoHyphens w:val="0"/>
        <w:spacing w:after="200"/>
        <w:ind w:left="283" w:right="283" w:firstLine="567"/>
        <w:jc w:val="both"/>
        <w:rPr>
          <w:color w:val="010000"/>
        </w:rPr>
      </w:pPr>
      <w:r w:rsidRPr="000D313E">
        <w:rPr>
          <w:color w:val="010000"/>
        </w:rPr>
        <w:t>29. Öte yandan mahkemeye erişim hakkına yönelik müdahaleler orantılı olmalıdır. Orantılılık, amaç ile araç arasında adil bir denge kurulmasını gerektirmektedir. Buna göre mahkemeye erişim hakkına getirilen sınırlamayla ulaşılmak istenen meşru amaç ve başvurucunun mahkemeye erişim hakkından yararlanmasındaki bireysel yarar arasında makul bir orantı kurulmalıdır. Hedeflenen amaca ulaşıldığında elde edilecek kamusal yararla kıyaslandığında sınırlama ile kişiye yüklenen külfetin aşırı ve orantısız olmaması gerekir (</w:t>
      </w:r>
      <w:r w:rsidRPr="000D313E">
        <w:rPr>
          <w:i/>
          <w:iCs/>
          <w:color w:val="010000"/>
        </w:rPr>
        <w:t xml:space="preserve">Mustafa Berberoğlu </w:t>
      </w:r>
      <w:r w:rsidRPr="000D313E">
        <w:rPr>
          <w:color w:val="010000"/>
        </w:rPr>
        <w:t xml:space="preserve">§ 49). </w:t>
      </w:r>
    </w:p>
    <w:p w:rsidR="002E79DF" w:rsidRPr="000D313E" w:rsidRDefault="000D313E" w:rsidP="000D313E">
      <w:pPr>
        <w:pStyle w:val="edf1450279197849"/>
        <w:widowControl/>
        <w:suppressAutoHyphens w:val="0"/>
        <w:spacing w:after="200"/>
        <w:ind w:left="283" w:right="283" w:firstLine="567"/>
        <w:jc w:val="both"/>
        <w:rPr>
          <w:rFonts w:cs="Times New Roman"/>
          <w:color w:val="010000"/>
        </w:rPr>
      </w:pPr>
      <w:r w:rsidRPr="000D313E">
        <w:rPr>
          <w:rFonts w:cs="Times New Roman"/>
          <w:b/>
          <w:color w:val="010000"/>
        </w:rPr>
        <w:t xml:space="preserve"> </w:t>
      </w:r>
      <w:r w:rsidR="001652CD" w:rsidRPr="000D313E">
        <w:rPr>
          <w:rFonts w:cs="Times New Roman"/>
          <w:b/>
          <w:color w:val="010000"/>
        </w:rPr>
        <w:t>(2)</w:t>
      </w:r>
      <w:r w:rsidRPr="000D313E">
        <w:rPr>
          <w:rFonts w:cs="Times New Roman"/>
          <w:color w:val="010000"/>
        </w:rPr>
        <w:t xml:space="preserve"> </w:t>
      </w:r>
      <w:r w:rsidR="001652CD" w:rsidRPr="000D313E">
        <w:rPr>
          <w:rFonts w:cs="Times New Roman"/>
          <w:b/>
          <w:color w:val="010000"/>
        </w:rPr>
        <w:t>İlkelerin Olaya Uygulanması</w:t>
      </w:r>
    </w:p>
    <w:p w:rsidR="002E79DF" w:rsidRPr="000D313E" w:rsidRDefault="001652CD" w:rsidP="000D313E">
      <w:pPr>
        <w:widowControl/>
        <w:suppressAutoHyphens w:val="0"/>
        <w:spacing w:after="200"/>
        <w:ind w:left="283" w:right="283" w:firstLine="567"/>
        <w:jc w:val="both"/>
        <w:rPr>
          <w:color w:val="010000"/>
        </w:rPr>
      </w:pPr>
      <w:r w:rsidRPr="000D313E">
        <w:rPr>
          <w:color w:val="010000"/>
        </w:rPr>
        <w:t>30.</w:t>
      </w:r>
      <w:r w:rsidR="000D313E" w:rsidRPr="000D313E">
        <w:rPr>
          <w:color w:val="010000"/>
        </w:rPr>
        <w:t xml:space="preserve"> </w:t>
      </w:r>
      <w:r w:rsidRPr="000D313E">
        <w:rPr>
          <w:color w:val="010000"/>
        </w:rPr>
        <w:t>Başvuruya konu uyuşmazlıkta, başvurucu tarafından kıymet takdirine itiraz davası açılırken bir miktar gider avansı ve harç yatırılmıştır. Başvurucunun kıymet takdiri yapılan taşınmazın belirlenen değerinin çok düşük olduğunu belirterek itirazda bulunmasına rağmen keşif ve bilirkişi incelemesi için gereken gider avansını yatırmadığı gerekçesiyle dava, Mahkeme tarafından esasa girilmeden reddedilmiştir.</w:t>
      </w:r>
    </w:p>
    <w:p w:rsidR="002E79DF" w:rsidRPr="000D313E" w:rsidRDefault="001652CD" w:rsidP="000D313E">
      <w:pPr>
        <w:widowControl/>
        <w:suppressAutoHyphens w:val="0"/>
        <w:spacing w:after="200"/>
        <w:ind w:left="283" w:right="283" w:firstLine="567"/>
        <w:jc w:val="both"/>
        <w:rPr>
          <w:color w:val="010000"/>
        </w:rPr>
      </w:pPr>
      <w:r w:rsidRPr="000D313E">
        <w:rPr>
          <w:color w:val="010000"/>
        </w:rPr>
        <w:lastRenderedPageBreak/>
        <w:t>31. Mahkeme tarafından davanın reddedilmesine dayanak olarak belirtilen 2004 sayılı Kanun'un 128/a maddesinin gerekçesinde kıymet takdirine itirazda hak ve zaman kaybının önlenmesi ve farklı uygulamaların ortadan kaldırılmasının amaçlandığı belirtilmiştir. Kıymet takdirine itiraz davası açan kişiler tarafından yeniden yapılacak kıymet takdiri için gerekli olan keşif ve bilirkişi ücretinin belirli süre içinde yatırılmaması sebebiyle davanın esasının incelenmeyerek reddedilmesinin gereksiz yere dava açılmasının hak ve zaman kaybının önlenmesi ile farklı uygulamaların ortadan kaldırılması bakımından elverişli bir araç olduğu konusunda tereddüt bulunmamaktadır (</w:t>
      </w:r>
      <w:proofErr w:type="spellStart"/>
      <w:r w:rsidRPr="000D313E">
        <w:rPr>
          <w:i/>
          <w:iCs/>
          <w:color w:val="010000"/>
        </w:rPr>
        <w:t>Nkt</w:t>
      </w:r>
      <w:proofErr w:type="spellEnd"/>
      <w:r w:rsidRPr="000D313E">
        <w:rPr>
          <w:i/>
          <w:iCs/>
          <w:color w:val="010000"/>
        </w:rPr>
        <w:t xml:space="preserve"> Teknoloji Dağıtım Ticaret Ltd. Şti.</w:t>
      </w:r>
      <w:r w:rsidRPr="000D313E">
        <w:rPr>
          <w:color w:val="010000"/>
        </w:rPr>
        <w:t>, § 40).</w:t>
      </w:r>
    </w:p>
    <w:p w:rsidR="002E79DF" w:rsidRPr="000D313E" w:rsidRDefault="001652CD" w:rsidP="000D313E">
      <w:pPr>
        <w:widowControl/>
        <w:suppressAutoHyphens w:val="0"/>
        <w:spacing w:after="200"/>
        <w:ind w:left="283" w:right="283" w:firstLine="567"/>
        <w:jc w:val="both"/>
        <w:rPr>
          <w:color w:val="010000"/>
        </w:rPr>
      </w:pPr>
      <w:r w:rsidRPr="000D313E">
        <w:rPr>
          <w:color w:val="010000"/>
        </w:rPr>
        <w:t>32.</w:t>
      </w:r>
      <w:r w:rsidR="000D313E" w:rsidRPr="000D313E">
        <w:rPr>
          <w:color w:val="010000"/>
        </w:rPr>
        <w:t xml:space="preserve"> </w:t>
      </w:r>
      <w:r w:rsidRPr="000D313E">
        <w:rPr>
          <w:color w:val="010000"/>
        </w:rPr>
        <w:t>Bununla birlikte mahkemeye erişim hakkına yapılan müdahalenin gerekli olup olmadığı da incelenmelidir. Kıymet takdirine itiraz davalarında, raporun tebliğinden itibaren yedi gün içinde dava açılması gerektiği değerlendirildiğinde davanın gerekli masrafların yatırılmamış olması nedeniyle reddi hâlinde yeni bir dava açılmasının imkânsız olduğu anlaşılmaktadır. Kıymet takdirine itiraz talebiyle açılan davalarda dava açma süreleri hak düşürücü süre niteliğindedir. Davanın esasa ilişkin değerlendirme yapılmadan reddedilmesi hâlinde süresi içinde yeni bir dava açılması imkânsızdır. Bu husus gözetildiğinde davanın gerekli masrafların davanın açılmasından itibaren yedi günlük sürede yatırılmadığı gerekçesiyle reddedilmesinin mahkemeye erişim hakkına yönelik ve oldukça ağır bir müdahale niteliği taşıdığı ifade edilebilir. Dolayısıyla bu nitelikteki ağır bir müdahaleye ancak daha hafif, alternatif bir aracın bulunmaması hâlinde müracaat edilebilmelidir (</w:t>
      </w:r>
      <w:proofErr w:type="spellStart"/>
      <w:r w:rsidRPr="000D313E">
        <w:rPr>
          <w:i/>
          <w:iCs/>
          <w:color w:val="010000"/>
        </w:rPr>
        <w:t>Nkt</w:t>
      </w:r>
      <w:proofErr w:type="spellEnd"/>
      <w:r w:rsidRPr="000D313E">
        <w:rPr>
          <w:i/>
          <w:iCs/>
          <w:color w:val="010000"/>
        </w:rPr>
        <w:t xml:space="preserve"> Teknoloji Dağıtım Ticaret Ltd. Şti.</w:t>
      </w:r>
      <w:r w:rsidRPr="000D313E">
        <w:rPr>
          <w:color w:val="010000"/>
        </w:rPr>
        <w:t xml:space="preserve">, § 41). </w:t>
      </w:r>
    </w:p>
    <w:p w:rsidR="002E79DF" w:rsidRPr="000D313E" w:rsidRDefault="001652CD" w:rsidP="000D313E">
      <w:pPr>
        <w:pStyle w:val="edf1450279197849"/>
        <w:widowControl/>
        <w:suppressAutoHyphens w:val="0"/>
        <w:spacing w:after="200"/>
        <w:ind w:left="283" w:right="283" w:firstLine="567"/>
        <w:jc w:val="both"/>
        <w:rPr>
          <w:rFonts w:cs="Times New Roman"/>
          <w:color w:val="010000"/>
        </w:rPr>
      </w:pPr>
      <w:r w:rsidRPr="000D313E">
        <w:rPr>
          <w:rFonts w:cs="Times New Roman"/>
          <w:color w:val="010000"/>
        </w:rPr>
        <w:t>33. 12/1/2011 tarihli ve 6100 sayılı Hukuk Muhakemeleri Kanunu'nun 120. maddesinde, gider avansı tarifesinde belirlenen tutarın dava açılırken mahkeme veznesine yatırılmasının zorunlu olduğu, avansın yeterli olmadığının dava sırasında anlaşılması hâlinde mahkemece bu eksikliğin tamamlanması için davacıya iki haftalık kesin süre verileceği düzenlenmiştir. Nitekim Yargıtay kararlarında da eksikliğin -noksan ücret ve masrafların miktarı da belirtilerek- mahkeme veznesine yatırılması için kesin mehil</w:t>
      </w:r>
      <w:r w:rsidRPr="000D313E">
        <w:rPr>
          <w:rFonts w:cs="Times New Roman"/>
          <w:i/>
          <w:iCs/>
          <w:color w:val="010000"/>
        </w:rPr>
        <w:t xml:space="preserve"> </w:t>
      </w:r>
      <w:r w:rsidRPr="000D313E">
        <w:rPr>
          <w:rFonts w:cs="Times New Roman"/>
          <w:color w:val="010000"/>
        </w:rPr>
        <w:t>verilerek giderilmesi yolunda bir uygulamanın olduğu görülmektedir. Bu uygulamanın temel hakların kullanılmasının asıl, sınırlandırmanın ise istisnai olduğu yaklaşımına daha uygun olduğu tartışmasızdır (</w:t>
      </w:r>
      <w:proofErr w:type="spellStart"/>
      <w:r w:rsidRPr="000D313E">
        <w:rPr>
          <w:rFonts w:cs="Times New Roman"/>
          <w:i/>
          <w:iCs/>
          <w:color w:val="010000"/>
        </w:rPr>
        <w:t>Nkt</w:t>
      </w:r>
      <w:proofErr w:type="spellEnd"/>
      <w:r w:rsidRPr="000D313E">
        <w:rPr>
          <w:rFonts w:cs="Times New Roman"/>
          <w:i/>
          <w:iCs/>
          <w:color w:val="010000"/>
        </w:rPr>
        <w:t xml:space="preserve"> Teknoloji Dağıtım Ticaret Ltd. Şti.</w:t>
      </w:r>
      <w:r w:rsidRPr="000D313E">
        <w:rPr>
          <w:rFonts w:cs="Times New Roman"/>
          <w:color w:val="010000"/>
        </w:rPr>
        <w:t>, § 42).</w:t>
      </w:r>
    </w:p>
    <w:p w:rsidR="002E79DF" w:rsidRPr="000D313E" w:rsidRDefault="001652CD" w:rsidP="000D313E">
      <w:pPr>
        <w:pStyle w:val="edf1450279197849"/>
        <w:widowControl/>
        <w:suppressAutoHyphens w:val="0"/>
        <w:spacing w:after="200"/>
        <w:ind w:left="283" w:right="283" w:firstLine="567"/>
        <w:jc w:val="both"/>
        <w:rPr>
          <w:rFonts w:cs="Times New Roman"/>
          <w:color w:val="010000"/>
        </w:rPr>
      </w:pPr>
      <w:r w:rsidRPr="000D313E">
        <w:rPr>
          <w:rFonts w:cs="Times New Roman"/>
          <w:color w:val="010000"/>
        </w:rPr>
        <w:t>34.</w:t>
      </w:r>
      <w:r w:rsidR="000D313E" w:rsidRPr="000D313E">
        <w:rPr>
          <w:rFonts w:cs="Times New Roman"/>
          <w:color w:val="010000"/>
        </w:rPr>
        <w:t xml:space="preserve"> </w:t>
      </w:r>
      <w:r w:rsidRPr="000D313E">
        <w:rPr>
          <w:rFonts w:cs="Times New Roman"/>
          <w:color w:val="010000"/>
        </w:rPr>
        <w:t xml:space="preserve">Belirtilen mevzuat hükümleri ve Yargıtay kararı gözetildiğinde eksikliğin tamamlatılması şeklinde daha hafif bir müdahale aracının da mevcut olduğu anlaşılmaktadır. Ancak somut olayda Mahkeme daha başta en ağır olan müdahale aracını seçmiştir. Mahkeme eksik masraf ve ücreti tamamlatma yoluna başvurmadığı gibi daha hafif olan bu müdahale aracına başvurmamasının nedenine ve bu aracın </w:t>
      </w:r>
      <w:r w:rsidRPr="000D313E">
        <w:rPr>
          <w:rFonts w:cs="Times New Roman"/>
          <w:i/>
          <w:iCs/>
          <w:color w:val="010000"/>
        </w:rPr>
        <w:t>öngörülen meşru amaca</w:t>
      </w:r>
      <w:r w:rsidRPr="000D313E">
        <w:rPr>
          <w:rFonts w:cs="Times New Roman"/>
          <w:color w:val="010000"/>
        </w:rPr>
        <w:t xml:space="preserve"> ulaşmayı sağlayamayacağına ilişkin bir açıklama da yapmamıştır. Mahkeme 6100 sayılı Kanun'un davanın doğrudan reddedilmesini önleyecek söz konusu hükümlerinin somut davada neden uygulanamayacağını da tartışmamıştır. Nihayetinde Mahkemenin bu yorumunun başvurucunun mahkemeye erişimini imkânsız kıldığı açıktır (benzer bir değerlendirme için bkz. </w:t>
      </w:r>
      <w:r w:rsidRPr="000D313E">
        <w:rPr>
          <w:rFonts w:cs="Times New Roman"/>
          <w:i/>
          <w:iCs/>
          <w:color w:val="010000"/>
        </w:rPr>
        <w:t>Mustafa Berberoğlu</w:t>
      </w:r>
      <w:r w:rsidRPr="000D313E">
        <w:rPr>
          <w:rFonts w:cs="Times New Roman"/>
          <w:color w:val="010000"/>
        </w:rPr>
        <w:t xml:space="preserve">, § 54) . </w:t>
      </w:r>
    </w:p>
    <w:p w:rsidR="002E79DF" w:rsidRPr="000D313E" w:rsidRDefault="001652CD" w:rsidP="000D313E">
      <w:pPr>
        <w:pStyle w:val="edf1450279197849"/>
        <w:widowControl/>
        <w:suppressAutoHyphens w:val="0"/>
        <w:spacing w:after="200"/>
        <w:ind w:left="283" w:right="283" w:firstLine="567"/>
        <w:jc w:val="both"/>
        <w:rPr>
          <w:rFonts w:cs="Times New Roman"/>
          <w:color w:val="010000"/>
        </w:rPr>
      </w:pPr>
      <w:r w:rsidRPr="000D313E">
        <w:rPr>
          <w:rFonts w:cs="Times New Roman"/>
          <w:color w:val="010000"/>
        </w:rPr>
        <w:t>35.</w:t>
      </w:r>
      <w:r w:rsidR="000D313E" w:rsidRPr="000D313E">
        <w:rPr>
          <w:rFonts w:cs="Times New Roman"/>
          <w:color w:val="010000"/>
        </w:rPr>
        <w:t xml:space="preserve"> </w:t>
      </w:r>
      <w:r w:rsidRPr="000D313E">
        <w:rPr>
          <w:rFonts w:cs="Times New Roman"/>
          <w:color w:val="010000"/>
        </w:rPr>
        <w:t>Bu itibarla Mahkemenin başvurucu tarafından tamamlanabilecek masraf ve ücreti tamamlatmak için noksan ücret ve masrafların miktarını da belirterek mahkeme veznesine yatırılması için başvurucuya kesin mehil</w:t>
      </w:r>
      <w:r w:rsidRPr="000D313E">
        <w:rPr>
          <w:rFonts w:cs="Times New Roman"/>
          <w:i/>
          <w:iCs/>
          <w:color w:val="010000"/>
        </w:rPr>
        <w:t xml:space="preserve"> </w:t>
      </w:r>
      <w:r w:rsidRPr="000D313E">
        <w:rPr>
          <w:rFonts w:cs="Times New Roman"/>
          <w:color w:val="010000"/>
        </w:rPr>
        <w:t xml:space="preserve">verebilecekken katı bir yorumla davanın esasının incelenmeksizin reddine karar vermek suretiyle ulaşılmak istenen amaç için daha hafif bir müdahale aracı yerine en başta başvurucunun mahkemeye erişimini imkânsız kılan ağır bir aracı tercih etmesinin gereklilik ilkesine uygun olmadığı sonucuna ulaşılmıştır. </w:t>
      </w:r>
    </w:p>
    <w:p w:rsidR="002E79DF" w:rsidRPr="000D313E" w:rsidRDefault="001652CD" w:rsidP="000D313E">
      <w:pPr>
        <w:widowControl/>
        <w:suppressAutoHyphens w:val="0"/>
        <w:spacing w:after="200"/>
        <w:ind w:left="283" w:right="283" w:firstLine="567"/>
        <w:jc w:val="both"/>
        <w:rPr>
          <w:color w:val="010000"/>
        </w:rPr>
      </w:pPr>
      <w:r w:rsidRPr="000D313E">
        <w:rPr>
          <w:color w:val="010000"/>
        </w:rPr>
        <w:lastRenderedPageBreak/>
        <w:t>36.</w:t>
      </w:r>
      <w:r w:rsidR="000D313E" w:rsidRPr="000D313E">
        <w:rPr>
          <w:color w:val="010000"/>
        </w:rPr>
        <w:t xml:space="preserve"> </w:t>
      </w:r>
      <w:r w:rsidRPr="000D313E">
        <w:rPr>
          <w:color w:val="010000"/>
        </w:rPr>
        <w:t>Açıklanan gerekçelerle başvurucunun Anayasa'nın 36. maddesinde güvence altına alınan adil yargılanma hakkı kapsamındaki mahkemeye erişim hakkının ihlal edildiğine karar verilmesi gerekir.</w:t>
      </w:r>
      <w:r w:rsidRPr="000D313E">
        <w:rPr>
          <w:b/>
          <w:color w:val="010000"/>
        </w:rPr>
        <w:t xml:space="preserve"> </w:t>
      </w:r>
    </w:p>
    <w:p w:rsidR="002E79DF" w:rsidRPr="000D313E" w:rsidRDefault="001652CD" w:rsidP="000D313E">
      <w:pPr>
        <w:widowControl/>
        <w:suppressAutoHyphens w:val="0"/>
        <w:spacing w:after="200"/>
        <w:ind w:left="283" w:right="283" w:firstLine="567"/>
        <w:jc w:val="both"/>
        <w:rPr>
          <w:color w:val="010000"/>
        </w:rPr>
      </w:pPr>
      <w:r w:rsidRPr="000D313E">
        <w:rPr>
          <w:b/>
          <w:color w:val="010000"/>
        </w:rPr>
        <w:t>3.</w:t>
      </w:r>
      <w:r w:rsidR="000D313E" w:rsidRPr="000D313E">
        <w:rPr>
          <w:b/>
          <w:color w:val="010000"/>
        </w:rPr>
        <w:t xml:space="preserve"> </w:t>
      </w:r>
      <w:r w:rsidRPr="000D313E">
        <w:rPr>
          <w:b/>
          <w:color w:val="010000"/>
        </w:rPr>
        <w:t>6216 Sayılı Kanun'un 50. Maddesi Yönünden</w:t>
      </w:r>
    </w:p>
    <w:p w:rsidR="002E79DF" w:rsidRPr="000D313E" w:rsidRDefault="001652CD" w:rsidP="000D313E">
      <w:pPr>
        <w:widowControl/>
        <w:suppressAutoHyphens w:val="0"/>
        <w:spacing w:after="200"/>
        <w:ind w:left="283" w:right="283" w:firstLine="567"/>
        <w:jc w:val="both"/>
        <w:rPr>
          <w:color w:val="010000"/>
        </w:rPr>
      </w:pPr>
      <w:r w:rsidRPr="000D313E">
        <w:rPr>
          <w:color w:val="010000"/>
        </w:rPr>
        <w:t>37. Başvurucu, ihlalin tespit edilmesi ve yargılamanın yenilenmesi talebinde bulunmuştur.</w:t>
      </w:r>
    </w:p>
    <w:p w:rsidR="002E79DF" w:rsidRPr="000D313E" w:rsidRDefault="001652CD" w:rsidP="000D313E">
      <w:pPr>
        <w:widowControl/>
        <w:suppressAutoHyphens w:val="0"/>
        <w:spacing w:after="200"/>
        <w:ind w:left="283" w:right="283" w:firstLine="567"/>
        <w:jc w:val="both"/>
        <w:rPr>
          <w:color w:val="010000"/>
        </w:rPr>
      </w:pPr>
      <w:r w:rsidRPr="000D313E">
        <w:rPr>
          <w:color w:val="010000"/>
        </w:rPr>
        <w:t>38.</w:t>
      </w:r>
      <w:r w:rsidR="000D313E" w:rsidRPr="000D313E">
        <w:rPr>
          <w:color w:val="010000"/>
        </w:rPr>
        <w:t xml:space="preserve"> </w:t>
      </w:r>
      <w:r w:rsidRPr="000D313E">
        <w:rPr>
          <w:color w:val="010000"/>
        </w:rPr>
        <w:t xml:space="preserve">İncelenen başvuruda, başvurucunun davasının keşif ve bilirkişi incelemesi için gerekli masraf ve ücretin yatırılmadığı gerekçesiyle esasına girilmeksizin kesin olarak reddine karar verilmesi nedeniyle mahkemeye erişim hakkının ihlal edildiği sonucuna ulaşılmıştır. Dolayısıyla ihlalin mahkeme kararından kaynaklandığı anlaşılmıştır. </w:t>
      </w:r>
    </w:p>
    <w:p w:rsidR="002E79DF" w:rsidRPr="000D313E" w:rsidRDefault="001652CD" w:rsidP="000D313E">
      <w:pPr>
        <w:widowControl/>
        <w:suppressAutoHyphens w:val="0"/>
        <w:spacing w:after="200"/>
        <w:ind w:left="283" w:right="283" w:firstLine="567"/>
        <w:jc w:val="both"/>
        <w:rPr>
          <w:color w:val="010000"/>
        </w:rPr>
      </w:pPr>
      <w:r w:rsidRPr="000D313E">
        <w:rPr>
          <w:color w:val="010000"/>
        </w:rPr>
        <w:t>39. Bu durumda mahkemeye erişim hakkının ihlalinin sonuçlarının ortadan kaldırılması için yeniden yargılama yapılmasında hukuki yarar bulunmaktadır. Yapılacak yeniden yargılama ise bireysel başvuruya özgü düzenleme içeren 6216 sayılı Kanun'un 50. maddesinin (2) numaralı fıkrasına göre ihlalin ve sonuçlarının ortadan kaldırılmasına yöneliktir. Bu kapsamda yapılması gereken iş, yeniden yargılama kararı verilerek Anayasa Mahkemesini ihlal sonucuna ulaştıran nedenleri gideren, ihlal kararında belirtilen ilkelere uygun yeni bir karar verilmesinden ibarettir. Bu sebeple kararın bir örneğinin Yalvaç İcra Hukuk Mahkemesine gönderilmesine karar verilmesi gerekir.</w:t>
      </w:r>
    </w:p>
    <w:p w:rsidR="002E79DF" w:rsidRPr="000D313E" w:rsidRDefault="001652CD" w:rsidP="000D313E">
      <w:pPr>
        <w:widowControl/>
        <w:suppressAutoHyphens w:val="0"/>
        <w:spacing w:after="200"/>
        <w:ind w:left="283" w:right="283" w:firstLine="567"/>
        <w:jc w:val="both"/>
        <w:rPr>
          <w:color w:val="010000"/>
        </w:rPr>
      </w:pPr>
      <w:r w:rsidRPr="000D313E">
        <w:rPr>
          <w:color w:val="010000"/>
        </w:rPr>
        <w:t>40.</w:t>
      </w:r>
      <w:r w:rsidR="000D313E" w:rsidRPr="000D313E">
        <w:rPr>
          <w:color w:val="010000"/>
        </w:rPr>
        <w:t xml:space="preserve"> </w:t>
      </w:r>
      <w:r w:rsidRPr="000D313E">
        <w:rPr>
          <w:color w:val="010000"/>
        </w:rPr>
        <w:t xml:space="preserve">Dosyadaki belgelerden tespit edilen 294,70 TL harç ve 9.900 TL vekâlet ücretinden oluşan toplam 10.194,70 TL yargılama giderinin başvurucuya ödenmesine karar verilmesi gerekir. </w:t>
      </w:r>
    </w:p>
    <w:p w:rsidR="000D313E" w:rsidRDefault="000D313E" w:rsidP="000D313E">
      <w:pPr>
        <w:widowControl/>
        <w:suppressAutoHyphens w:val="0"/>
        <w:spacing w:after="200"/>
        <w:ind w:left="283" w:right="283" w:firstLine="567"/>
        <w:jc w:val="both"/>
        <w:rPr>
          <w:b/>
          <w:color w:val="010000"/>
        </w:rPr>
      </w:pPr>
      <w:r>
        <w:rPr>
          <w:b/>
          <w:color w:val="010000"/>
        </w:rPr>
        <w:t>VI. HÜKÜM</w:t>
      </w:r>
    </w:p>
    <w:p w:rsidR="002E79DF" w:rsidRPr="000D313E" w:rsidRDefault="001652CD" w:rsidP="000D313E">
      <w:pPr>
        <w:widowControl/>
        <w:suppressAutoHyphens w:val="0"/>
        <w:spacing w:after="200"/>
        <w:ind w:left="283" w:right="283" w:firstLine="567"/>
        <w:jc w:val="both"/>
        <w:rPr>
          <w:color w:val="010000"/>
        </w:rPr>
      </w:pPr>
      <w:r w:rsidRPr="000D313E">
        <w:rPr>
          <w:color w:val="010000"/>
        </w:rPr>
        <w:t>Açıklanan gerekçelerle;</w:t>
      </w:r>
    </w:p>
    <w:p w:rsidR="002E79DF" w:rsidRPr="000D313E" w:rsidRDefault="001652CD" w:rsidP="000D313E">
      <w:pPr>
        <w:widowControl/>
        <w:suppressAutoHyphens w:val="0"/>
        <w:spacing w:after="200"/>
        <w:ind w:left="283" w:right="283" w:firstLine="567"/>
        <w:jc w:val="both"/>
        <w:rPr>
          <w:color w:val="010000"/>
        </w:rPr>
      </w:pPr>
      <w:r w:rsidRPr="000D313E">
        <w:rPr>
          <w:color w:val="010000"/>
        </w:rPr>
        <w:t>A.</w:t>
      </w:r>
      <w:r w:rsidR="000D313E" w:rsidRPr="000D313E">
        <w:rPr>
          <w:color w:val="010000"/>
        </w:rPr>
        <w:t xml:space="preserve"> </w:t>
      </w:r>
      <w:r w:rsidRPr="000D313E">
        <w:rPr>
          <w:color w:val="010000"/>
        </w:rPr>
        <w:t>Mahkemeye erişim hakkının ihlal edildiğine ilişkin iddianın KABUL EDİLEBİLİR OLDUĞUNA,</w:t>
      </w:r>
    </w:p>
    <w:p w:rsidR="002E79DF" w:rsidRPr="000D313E" w:rsidRDefault="001652CD" w:rsidP="000D313E">
      <w:pPr>
        <w:widowControl/>
        <w:suppressAutoHyphens w:val="0"/>
        <w:spacing w:after="200"/>
        <w:ind w:left="283" w:right="283" w:firstLine="567"/>
        <w:jc w:val="both"/>
        <w:rPr>
          <w:color w:val="010000"/>
        </w:rPr>
      </w:pPr>
      <w:r w:rsidRPr="000D313E">
        <w:rPr>
          <w:color w:val="010000"/>
        </w:rPr>
        <w:t>B.</w:t>
      </w:r>
      <w:r w:rsidR="000D313E" w:rsidRPr="000D313E">
        <w:rPr>
          <w:color w:val="010000"/>
        </w:rPr>
        <w:t xml:space="preserve"> </w:t>
      </w:r>
      <w:r w:rsidRPr="000D313E">
        <w:rPr>
          <w:color w:val="010000"/>
        </w:rPr>
        <w:t>Anayasa’nın 36. maddesinde güvence altına alınan adil yargılanma hakkı kapsamındaki mahkemeye erişim hakkının İHLAL EDİLDİĞİNE,</w:t>
      </w:r>
    </w:p>
    <w:p w:rsidR="002E79DF" w:rsidRPr="000D313E" w:rsidRDefault="001652CD" w:rsidP="000D313E">
      <w:pPr>
        <w:widowControl/>
        <w:suppressAutoHyphens w:val="0"/>
        <w:spacing w:after="200"/>
        <w:ind w:left="283" w:right="283" w:firstLine="567"/>
        <w:jc w:val="both"/>
        <w:rPr>
          <w:color w:val="010000"/>
        </w:rPr>
      </w:pPr>
      <w:r w:rsidRPr="000D313E">
        <w:rPr>
          <w:color w:val="010000"/>
        </w:rPr>
        <w:t>C.</w:t>
      </w:r>
      <w:r w:rsidR="000D313E" w:rsidRPr="000D313E">
        <w:rPr>
          <w:color w:val="010000"/>
        </w:rPr>
        <w:t xml:space="preserve"> </w:t>
      </w:r>
      <w:r w:rsidRPr="000D313E">
        <w:rPr>
          <w:color w:val="010000"/>
        </w:rPr>
        <w:t>Kararın bir örneğinin mahkemeye erişim hakkının ihlalinin sonuçlarının ortadan kaldırılması için yeniden yargılama yapılmak amacıyla Yalvaç İcra Hukuk Mahkemesine (E.2018/48, K.2018/60) GÖNDERİLMESİNE,</w:t>
      </w:r>
    </w:p>
    <w:p w:rsidR="002E79DF" w:rsidRPr="000D313E" w:rsidRDefault="001652CD" w:rsidP="000D313E">
      <w:pPr>
        <w:widowControl/>
        <w:suppressAutoHyphens w:val="0"/>
        <w:spacing w:after="200"/>
        <w:ind w:left="283" w:right="283" w:firstLine="567"/>
        <w:jc w:val="both"/>
        <w:rPr>
          <w:color w:val="010000"/>
        </w:rPr>
      </w:pPr>
      <w:r w:rsidRPr="000D313E">
        <w:rPr>
          <w:color w:val="010000"/>
        </w:rPr>
        <w:t>D.</w:t>
      </w:r>
      <w:r w:rsidR="000D313E" w:rsidRPr="000D313E">
        <w:rPr>
          <w:color w:val="010000"/>
        </w:rPr>
        <w:t xml:space="preserve"> </w:t>
      </w:r>
      <w:r w:rsidRPr="000D313E">
        <w:rPr>
          <w:color w:val="010000"/>
        </w:rPr>
        <w:t xml:space="preserve">Dosyadaki belgelerden tespit edilen 294,70 TL harç ve 9.900 TL vekâlet ücretinden oluşan toplam 10.194,70 TL yargılama giderinin başvurucuya ÖDENMESİNE, </w:t>
      </w:r>
    </w:p>
    <w:p w:rsidR="002E79DF" w:rsidRPr="000D313E" w:rsidRDefault="001652CD" w:rsidP="000D313E">
      <w:pPr>
        <w:widowControl/>
        <w:suppressAutoHyphens w:val="0"/>
        <w:spacing w:after="200"/>
        <w:ind w:left="283" w:right="283" w:firstLine="567"/>
        <w:jc w:val="both"/>
        <w:rPr>
          <w:color w:val="010000"/>
        </w:rPr>
      </w:pPr>
      <w:r w:rsidRPr="000D313E">
        <w:rPr>
          <w:color w:val="010000"/>
        </w:rPr>
        <w:t>E.</w:t>
      </w:r>
      <w:r w:rsidR="000D313E" w:rsidRPr="000D313E">
        <w:rPr>
          <w:color w:val="010000"/>
        </w:rPr>
        <w:t xml:space="preserve"> </w:t>
      </w:r>
      <w:r w:rsidRPr="000D313E">
        <w:rPr>
          <w:color w:val="010000"/>
        </w:rPr>
        <w:t>Ödemenin kararın tebliğini takiben başvurucunun Hazine ve Maliye Bakanlığına başvuru tarihinden itibaren dört ay içinde yapılmasına, ödemede gecikme olması hâlinde bu sürenin sona erdiği tarihten ödeme tarihine kadar geçen süre için yasal FAİZ UYGULANMASINA,</w:t>
      </w:r>
    </w:p>
    <w:p w:rsidR="000D313E" w:rsidRDefault="000D313E" w:rsidP="000D313E">
      <w:pPr>
        <w:widowControl/>
        <w:suppressAutoHyphens w:val="0"/>
        <w:spacing w:after="200"/>
        <w:ind w:left="283" w:right="283" w:firstLine="567"/>
        <w:jc w:val="both"/>
        <w:rPr>
          <w:color w:val="010000"/>
        </w:rPr>
      </w:pPr>
      <w:r>
        <w:rPr>
          <w:color w:val="010000"/>
        </w:rPr>
        <w:t xml:space="preserve">F. Kararın bir örneğinin Adalet Bakanlığına GÖNDERİLMESİNE 22/9/2022 </w:t>
      </w:r>
      <w:bookmarkStart w:id="0" w:name="_GoBack"/>
      <w:bookmarkEnd w:id="0"/>
      <w:r>
        <w:rPr>
          <w:color w:val="010000"/>
        </w:rPr>
        <w:t>tarihinde OYBİRLİĞİYLE karar verildi.</w:t>
      </w:r>
    </w:p>
    <w:p w:rsidR="002E79DF" w:rsidRPr="000D313E" w:rsidRDefault="002E79DF" w:rsidP="000D313E">
      <w:pPr>
        <w:widowControl/>
        <w:suppressAutoHyphens w:val="0"/>
        <w:spacing w:after="200"/>
        <w:ind w:left="283" w:right="283" w:firstLine="567"/>
        <w:jc w:val="both"/>
        <w:rPr>
          <w:color w:val="010000"/>
        </w:rPr>
      </w:pPr>
    </w:p>
    <w:sectPr w:rsidR="002E79DF" w:rsidRPr="000D313E" w:rsidSect="000D313E">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E79DF" w:rsidRDefault="001652CD">
      <w:r>
        <w:separator/>
      </w:r>
    </w:p>
  </w:endnote>
  <w:endnote w:type="continuationSeparator" w:id="0">
    <w:p w:rsidR="002E79DF" w:rsidRDefault="001652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Arial">
    <w:panose1 w:val="020B0604020202020204"/>
    <w:charset w:val="A2"/>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79DF" w:rsidRDefault="001652CD">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Pr>
        <w:color w:val="000000"/>
        <w:sz w:val="22"/>
      </w:rPr>
      <w:t>8</w:t>
    </w:r>
    <w:r>
      <w:rPr>
        <w:color w:val="000000"/>
        <w:sz w:val="22"/>
      </w:rPr>
      <w:fldChar w:fldCharType="end"/>
    </w:r>
  </w:p>
  <w:p w:rsidR="002E79DF" w:rsidRDefault="002E79DF">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E79DF" w:rsidRDefault="001652CD">
      <w:r>
        <w:separator/>
      </w:r>
    </w:p>
  </w:footnote>
  <w:footnote w:type="continuationSeparator" w:id="0">
    <w:p w:rsidR="002E79DF" w:rsidRDefault="001652C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79DF" w:rsidRDefault="001652CD">
    <w:pPr>
      <w:pStyle w:val="stBilgi"/>
      <w:tabs>
        <w:tab w:val="left" w:pos="2020"/>
      </w:tabs>
      <w:spacing w:line="288" w:lineRule="exact"/>
    </w:pPr>
    <w:r>
      <w:t>Başvuru Numarası</w:t>
    </w:r>
    <w:r>
      <w:tab/>
      <w:t>: 2019/132</w:t>
    </w:r>
  </w:p>
  <w:p w:rsidR="002E79DF" w:rsidRDefault="001652CD" w:rsidP="000D313E">
    <w:pPr>
      <w:pStyle w:val="stBilgi"/>
      <w:tabs>
        <w:tab w:val="left" w:pos="2020"/>
      </w:tabs>
      <w:spacing w:line="288" w:lineRule="exact"/>
    </w:pPr>
    <w:r>
      <w:t>Karar Tarihi</w:t>
    </w:r>
    <w:r>
      <w:tab/>
      <w:t xml:space="preserve">: 22/9/2022 </w:t>
    </w:r>
  </w:p>
  <w:p w:rsidR="000D313E" w:rsidRDefault="000D313E" w:rsidP="000D313E">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1652CD"/>
    <w:rsid w:val="000D313E"/>
    <w:rsid w:val="001652CD"/>
    <w:rsid w:val="00295437"/>
    <w:rsid w:val="002E79D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colormenu v:ext="edit" fillcolor="none [4]" strokecolor="none [1]" shadowcolor="none [2]"/>
    </o:shapedefaults>
    <o:shapelayout v:ext="edit">
      <o:idmap v:ext="edit" data="1"/>
    </o:shapelayout>
  </w:shapeDefaults>
  <w:doNotEmbedSmartTags/>
  <w:decimalSymbol w:val=","/>
  <w:listSeparator w:val=";"/>
  <w14:docId w14:val="67E80CE6"/>
  <w15:chartTrackingRefBased/>
  <w15:docId w15:val="{B0218FBE-3333-45A3-993D-EE1B5A871A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balk">
    <w:name w:val="Üst başlık"/>
    <w:basedOn w:val="Normal"/>
    <w:next w:val="GvdeMetni"/>
    <w:pPr>
      <w:keepNext/>
      <w:spacing w:before="240" w:after="120"/>
    </w:pPr>
    <w:rPr>
      <w:rFonts w:ascii="Arial" w:eastAsia="MS PGothic" w:hAnsi="Arial"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fa-IR" w:bidi="fa-IR"/>
    </w:rPr>
  </w:style>
  <w:style w:type="paragraph" w:customStyle="1" w:styleId="edf1422541616368">
    <w:name w:val="edf_1422541616368"/>
    <w:pPr>
      <w:widowControl w:val="0"/>
      <w:suppressAutoHyphens/>
    </w:pPr>
    <w:rPr>
      <w:rFonts w:eastAsia="Andale Sans UI" w:cs="Tahoma"/>
      <w:kern w:val="1"/>
      <w:sz w:val="24"/>
      <w:szCs w:val="24"/>
      <w:lang w:eastAsia="fa-IR" w:bidi="fa-IR"/>
    </w:rPr>
  </w:style>
  <w:style w:type="paragraph" w:customStyle="1" w:styleId="edf1425685639672">
    <w:name w:val="edf_1425685639672"/>
    <w:pPr>
      <w:widowControl w:val="0"/>
      <w:suppressAutoHyphens/>
    </w:pPr>
    <w:rPr>
      <w:rFonts w:eastAsia="Andale Sans UI" w:cs="Tahoma"/>
      <w:kern w:val="1"/>
      <w:sz w:val="24"/>
      <w:szCs w:val="24"/>
      <w:lang w:eastAsia="fa-IR" w:bidi="fa-IR"/>
    </w:rPr>
  </w:style>
  <w:style w:type="paragraph" w:customStyle="1" w:styleId="edf1463746527608">
    <w:name w:val="edf_1463746527608"/>
    <w:pPr>
      <w:widowControl w:val="0"/>
      <w:suppressAutoHyphens/>
    </w:pPr>
    <w:rPr>
      <w:rFonts w:eastAsia="Andale Sans UI" w:cs="Tahoma"/>
      <w:kern w:val="1"/>
      <w:sz w:val="24"/>
      <w:szCs w:val="24"/>
      <w:lang w:eastAsia="fa-IR" w:bidi="fa-IR"/>
    </w:rPr>
  </w:style>
  <w:style w:type="paragraph" w:customStyle="1" w:styleId="edf1403763775768">
    <w:name w:val="edf_1403763775768"/>
    <w:pPr>
      <w:widowControl w:val="0"/>
      <w:suppressAutoHyphens/>
    </w:pPr>
    <w:rPr>
      <w:rFonts w:eastAsia="Andale Sans UI" w:cs="Tahoma"/>
      <w:kern w:val="1"/>
      <w:sz w:val="24"/>
      <w:szCs w:val="24"/>
      <w:lang w:eastAsia="fa-IR" w:bidi="fa-IR"/>
    </w:rPr>
  </w:style>
  <w:style w:type="paragraph" w:customStyle="1" w:styleId="edf1393440831590">
    <w:name w:val="edf_1393440831590"/>
    <w:pPr>
      <w:widowControl w:val="0"/>
      <w:suppressAutoHyphens/>
    </w:pPr>
    <w:rPr>
      <w:rFonts w:eastAsia="Andale Sans UI" w:cs="Tahoma"/>
      <w:kern w:val="1"/>
      <w:sz w:val="24"/>
      <w:szCs w:val="24"/>
      <w:lang w:eastAsia="fa-IR" w:bidi="fa-IR"/>
    </w:rPr>
  </w:style>
  <w:style w:type="paragraph" w:customStyle="1" w:styleId="edf1450279197849">
    <w:name w:val="edf_1450279197849"/>
    <w:pPr>
      <w:widowControl w:val="0"/>
      <w:suppressAutoHyphens/>
    </w:pPr>
    <w:rPr>
      <w:rFonts w:eastAsia="Andale Sans UI" w:cs="Tahoma"/>
      <w:kern w:val="1"/>
      <w:sz w:val="24"/>
      <w:szCs w:val="24"/>
      <w:lang w:eastAsia="fa-IR"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fa-IR" w:bidi="fa-IR"/>
    </w:rPr>
  </w:style>
  <w:style w:type="paragraph" w:customStyle="1" w:styleId="edf1503490801100">
    <w:name w:val="edf_1503490801100"/>
    <w:pPr>
      <w:widowControl w:val="0"/>
      <w:suppressAutoHyphens/>
    </w:pPr>
    <w:rPr>
      <w:rFonts w:eastAsia="Andale Sans UI" w:cs="Tahoma"/>
      <w:kern w:val="1"/>
      <w:sz w:val="24"/>
      <w:szCs w:val="24"/>
      <w:lang w:eastAsia="fa-IR" w:bidi="fa-IR"/>
    </w:rPr>
  </w:style>
  <w:style w:type="paragraph" w:customStyle="1" w:styleId="hvl-default">
    <w:name w:val="hvl-default"/>
    <w:pPr>
      <w:widowControl w:val="0"/>
      <w:suppressAutoHyphens/>
    </w:pPr>
    <w:rPr>
      <w:rFonts w:eastAsia="Andale Sans UI" w:cs="Tahoma"/>
      <w:kern w:val="1"/>
      <w:sz w:val="24"/>
      <w:szCs w:val="24"/>
      <w:lang w:eastAsia="fa-IR" w:bidi="fa-IR"/>
    </w:rPr>
  </w:style>
  <w:style w:type="paragraph" w:customStyle="1" w:styleId="edf1503496475962">
    <w:name w:val="edf_1503496475962"/>
    <w:pPr>
      <w:widowControl w:val="0"/>
      <w:suppressAutoHyphens/>
    </w:pPr>
    <w:rPr>
      <w:rFonts w:eastAsia="Andale Sans UI" w:cs="Tahoma"/>
      <w:kern w:val="1"/>
      <w:sz w:val="24"/>
      <w:szCs w:val="24"/>
      <w:lang w:eastAsia="fa-IR" w:bidi="fa-IR"/>
    </w:rPr>
  </w:style>
  <w:style w:type="paragraph" w:customStyle="1" w:styleId="edf1450278888507">
    <w:name w:val="edf_1450278888507"/>
    <w:pPr>
      <w:widowControl w:val="0"/>
      <w:suppressAutoHyphens/>
    </w:pPr>
    <w:rPr>
      <w:rFonts w:eastAsia="Andale Sans UI" w:cs="Tahoma"/>
      <w:kern w:val="1"/>
      <w:sz w:val="24"/>
      <w:szCs w:val="24"/>
      <w:lang w:eastAsia="fa-IR" w:bidi="fa-IR"/>
    </w:rPr>
  </w:style>
  <w:style w:type="paragraph" w:customStyle="1" w:styleId="edf1450279197865">
    <w:name w:val="edf_1450279197865"/>
    <w:pPr>
      <w:widowControl w:val="0"/>
      <w:suppressAutoHyphens/>
    </w:pPr>
    <w:rPr>
      <w:rFonts w:eastAsia="Andale Sans UI" w:cs="Tahoma"/>
      <w:kern w:val="1"/>
      <w:sz w:val="24"/>
      <w:szCs w:val="24"/>
      <w:lang w:eastAsia="fa-IR" w:bidi="fa-IR"/>
    </w:rPr>
  </w:style>
  <w:style w:type="paragraph" w:customStyle="1" w:styleId="edf1522395992932">
    <w:name w:val="edf_1522395992932"/>
    <w:pPr>
      <w:widowControl w:val="0"/>
      <w:suppressAutoHyphens/>
    </w:pPr>
    <w:rPr>
      <w:rFonts w:eastAsia="Andale Sans UI" w:cs="Tahoma"/>
      <w:kern w:val="1"/>
      <w:sz w:val="24"/>
      <w:szCs w:val="24"/>
      <w:lang w:eastAsia="fa-IR" w:bidi="fa-IR"/>
    </w:rPr>
  </w:style>
  <w:style w:type="paragraph" w:customStyle="1" w:styleId="edf1335361581820">
    <w:name w:val="edf_1335361581820"/>
    <w:pPr>
      <w:widowControl w:val="0"/>
      <w:suppressAutoHyphens/>
    </w:pPr>
    <w:rPr>
      <w:rFonts w:eastAsia="Andale Sans UI" w:cs="Tahoma"/>
      <w:kern w:val="1"/>
      <w:sz w:val="24"/>
      <w:szCs w:val="24"/>
      <w:lang w:eastAsia="fa-IR" w:bidi="fa-IR"/>
    </w:rPr>
  </w:style>
  <w:style w:type="paragraph" w:customStyle="1" w:styleId="edf1450278888505">
    <w:name w:val="edf_1450278888505"/>
    <w:pPr>
      <w:widowControl w:val="0"/>
      <w:suppressAutoHyphens/>
    </w:pPr>
    <w:rPr>
      <w:rFonts w:eastAsia="Andale Sans UI" w:cs="Tahoma"/>
      <w:kern w:val="1"/>
      <w:sz w:val="24"/>
      <w:szCs w:val="24"/>
      <w:lang w:eastAsia="fa-IR" w:bidi="fa-IR"/>
    </w:rPr>
  </w:style>
  <w:style w:type="paragraph" w:customStyle="1" w:styleId="edf1424788081600">
    <w:name w:val="edf_1424788081600"/>
    <w:pPr>
      <w:widowControl w:val="0"/>
      <w:suppressAutoHyphens/>
    </w:pPr>
    <w:rPr>
      <w:rFonts w:eastAsia="Andale Sans UI" w:cs="Tahoma"/>
      <w:kern w:val="1"/>
      <w:sz w:val="24"/>
      <w:szCs w:val="24"/>
      <w:lang w:eastAsia="fa-IR" w:bidi="fa-IR"/>
    </w:rPr>
  </w:style>
  <w:style w:type="paragraph" w:customStyle="1" w:styleId="edf1415696712595">
    <w:name w:val="edf_1415696712595"/>
    <w:pPr>
      <w:widowControl w:val="0"/>
      <w:suppressAutoHyphens/>
    </w:pPr>
    <w:rPr>
      <w:rFonts w:eastAsia="Andale Sans UI" w:cs="Tahoma"/>
      <w:kern w:val="1"/>
      <w:sz w:val="24"/>
      <w:szCs w:val="24"/>
      <w:lang w:eastAsia="fa-IR" w:bidi="fa-IR"/>
    </w:rPr>
  </w:style>
  <w:style w:type="paragraph" w:customStyle="1" w:styleId="edf1393440766750">
    <w:name w:val="edf_1393440766750"/>
    <w:pPr>
      <w:widowControl w:val="0"/>
      <w:suppressAutoHyphens/>
    </w:pPr>
    <w:rPr>
      <w:rFonts w:eastAsia="Andale Sans UI" w:cs="Tahoma"/>
      <w:kern w:val="1"/>
      <w:sz w:val="24"/>
      <w:szCs w:val="24"/>
      <w:lang w:eastAsia="fa-IR" w:bidi="fa-IR"/>
    </w:rPr>
  </w:style>
  <w:style w:type="paragraph" w:customStyle="1" w:styleId="edf1449480197167">
    <w:name w:val="edf_1449480197167"/>
    <w:pPr>
      <w:widowControl w:val="0"/>
      <w:suppressAutoHyphens/>
    </w:pPr>
    <w:rPr>
      <w:rFonts w:eastAsia="Andale Sans UI" w:cs="Tahoma"/>
      <w:kern w:val="1"/>
      <w:sz w:val="24"/>
      <w:szCs w:val="24"/>
      <w:lang w:eastAsia="fa-IR" w:bidi="fa-IR"/>
    </w:rPr>
  </w:style>
  <w:style w:type="paragraph" w:customStyle="1" w:styleId="edf1385626416287">
    <w:name w:val="edf_1385626416287"/>
    <w:pPr>
      <w:widowControl w:val="0"/>
      <w:suppressAutoHyphens/>
    </w:pPr>
    <w:rPr>
      <w:rFonts w:eastAsia="Andale Sans UI" w:cs="Tahoma"/>
      <w:kern w:val="1"/>
      <w:sz w:val="24"/>
      <w:szCs w:val="24"/>
      <w:lang w:eastAsia="fa-IR" w:bidi="fa-IR"/>
    </w:rPr>
  </w:style>
  <w:style w:type="paragraph" w:customStyle="1" w:styleId="edf1503496120220">
    <w:name w:val="edf_1503496120220"/>
    <w:pPr>
      <w:widowControl w:val="0"/>
      <w:suppressAutoHyphens/>
    </w:pPr>
    <w:rPr>
      <w:rFonts w:eastAsia="Andale Sans UI" w:cs="Tahoma"/>
      <w:kern w:val="1"/>
      <w:sz w:val="24"/>
      <w:szCs w:val="24"/>
      <w:lang w:eastAsia="fa-IR" w:bidi="fa-IR"/>
    </w:rPr>
  </w:style>
  <w:style w:type="paragraph" w:customStyle="1" w:styleId="edf1521131683528">
    <w:name w:val="edf_1521131683528"/>
    <w:pPr>
      <w:widowControl w:val="0"/>
      <w:suppressAutoHyphens/>
    </w:pPr>
    <w:rPr>
      <w:rFonts w:eastAsia="Andale Sans UI" w:cs="Tahoma"/>
      <w:kern w:val="1"/>
      <w:sz w:val="24"/>
      <w:szCs w:val="24"/>
      <w:lang w:eastAsia="fa-IR" w:bidi="fa-IR"/>
    </w:rPr>
  </w:style>
  <w:style w:type="paragraph" w:customStyle="1" w:styleId="edf1419597503565">
    <w:name w:val="edf_1419597503565"/>
    <w:pPr>
      <w:widowControl w:val="0"/>
      <w:suppressAutoHyphens/>
    </w:pPr>
    <w:rPr>
      <w:rFonts w:eastAsia="Andale Sans UI" w:cs="Tahoma"/>
      <w:kern w:val="1"/>
      <w:sz w:val="24"/>
      <w:szCs w:val="24"/>
      <w:lang w:eastAsia="fa-IR" w:bidi="fa-IR"/>
    </w:rPr>
  </w:style>
  <w:style w:type="paragraph" w:customStyle="1" w:styleId="edf1544689012139">
    <w:name w:val="edf_1544689012139"/>
    <w:pPr>
      <w:widowControl w:val="0"/>
      <w:suppressAutoHyphens/>
    </w:pPr>
    <w:rPr>
      <w:rFonts w:eastAsia="Andale Sans UI" w:cs="Tahoma"/>
      <w:kern w:val="1"/>
      <w:sz w:val="24"/>
      <w:szCs w:val="24"/>
      <w:lang w:eastAsia="fa-IR" w:bidi="fa-IR"/>
    </w:rPr>
  </w:style>
  <w:style w:type="paragraph" w:customStyle="1" w:styleId="edf1565964290109">
    <w:name w:val="edf_1565964290109"/>
    <w:pPr>
      <w:widowControl w:val="0"/>
      <w:suppressAutoHyphens/>
    </w:pPr>
    <w:rPr>
      <w:rFonts w:ascii="Dialog" w:eastAsia="Andale Sans UI" w:hAnsi="Dialog" w:cs="Tahoma"/>
      <w:color w:val="000000"/>
      <w:kern w:val="1"/>
      <w:sz w:val="24"/>
      <w:szCs w:val="24"/>
      <w:lang w:eastAsia="fa-IR" w:bidi="fa-IR"/>
    </w:rPr>
  </w:style>
  <w:style w:type="paragraph" w:styleId="stBilgi">
    <w:name w:val="header"/>
    <w:pPr>
      <w:widowControl w:val="0"/>
      <w:suppressAutoHyphens/>
    </w:pPr>
    <w:rPr>
      <w:rFonts w:eastAsia="Andale Sans UI" w:cs="Tahoma"/>
      <w:kern w:val="1"/>
      <w:sz w:val="24"/>
      <w:szCs w:val="24"/>
      <w:lang w:eastAsia="fa-IR" w:bidi="fa-IR"/>
    </w:rPr>
  </w:style>
  <w:style w:type="paragraph" w:styleId="AltBilgi">
    <w:name w:val="footer"/>
    <w:pPr>
      <w:widowControl w:val="0"/>
      <w:suppressAutoHyphens/>
    </w:pPr>
    <w:rPr>
      <w:rFonts w:eastAsia="Andale Sans UI" w:cs="Tahoma"/>
      <w:kern w:val="1"/>
      <w:sz w:val="24"/>
      <w:szCs w:val="24"/>
      <w:lang w:eastAsia="fa-IR"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2599</Words>
  <Characters>14819</Characters>
  <Application>Microsoft Office Word</Application>
  <DocSecurity>0</DocSecurity>
  <Lines>123</Lines>
  <Paragraphs>34</Paragraphs>
  <ScaleCrop>false</ScaleCrop>
  <Company/>
  <LinksUpToDate>false</LinksUpToDate>
  <CharactersWithSpaces>17384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KAVUN</dc:creator>
  <cp:keywords/>
  <cp:lastModifiedBy>Sibel YÖNDEM</cp:lastModifiedBy>
  <cp:revision>4</cp:revision>
  <cp:lastPrinted>1899-12-31T21:00:00Z</cp:lastPrinted>
  <dcterms:created xsi:type="dcterms:W3CDTF">2022-11-21T13:55:00Z</dcterms:created>
  <dcterms:modified xsi:type="dcterms:W3CDTF">2022-11-23T10:15:00Z</dcterms:modified>
</cp:coreProperties>
</file>