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71AF1" w:rsidRDefault="00071AF1" w:rsidP="00071AF1">
      <w:pPr>
        <w:widowControl/>
        <w:suppressAutoHyphens w:val="0"/>
        <w:spacing w:after="200"/>
        <w:ind w:left="283" w:right="283" w:firstLine="567"/>
        <w:jc w:val="both"/>
        <w:rPr>
          <w:b/>
          <w:color w:val="010000"/>
          <w:sz w:val="28"/>
        </w:rPr>
      </w:pPr>
    </w:p>
    <w:p w:rsidR="00071AF1" w:rsidRDefault="00071AF1" w:rsidP="00071AF1">
      <w:pPr>
        <w:widowControl/>
        <w:suppressAutoHyphens w:val="0"/>
        <w:spacing w:after="200"/>
        <w:ind w:left="283" w:right="283" w:firstLine="567"/>
        <w:jc w:val="both"/>
        <w:rPr>
          <w:b/>
          <w:color w:val="010000"/>
          <w:sz w:val="28"/>
        </w:rPr>
      </w:pPr>
    </w:p>
    <w:p w:rsidR="00071AF1" w:rsidRDefault="00071AF1" w:rsidP="00071AF1">
      <w:pPr>
        <w:widowControl/>
        <w:suppressAutoHyphens w:val="0"/>
        <w:spacing w:after="200"/>
        <w:ind w:left="283" w:right="283" w:firstLine="567"/>
        <w:jc w:val="both"/>
        <w:rPr>
          <w:b/>
          <w:color w:val="010000"/>
          <w:sz w:val="28"/>
        </w:rPr>
      </w:pPr>
    </w:p>
    <w:p w:rsidR="00071AF1" w:rsidRDefault="00071AF1" w:rsidP="00071AF1">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sz w:val="28"/>
              </w:rPr>
            </w:pPr>
            <w:r>
              <w:rPr>
                <w:b/>
                <w:color w:val="010000"/>
                <w:sz w:val="28"/>
              </w:rPr>
              <w:t>TÜRKİYE CUMHURİYETİ</w:t>
            </w: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sz w:val="32"/>
              </w:rPr>
            </w:pPr>
            <w:r>
              <w:rPr>
                <w:b/>
                <w:color w:val="010000"/>
                <w:sz w:val="32"/>
              </w:rPr>
              <w:t>ANAYASA MAHKEMESİ</w:t>
            </w: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r>
              <w:rPr>
                <w:b/>
                <w:color w:val="010000"/>
              </w:rPr>
              <w:t>İKİNCİ BÖLÜM</w:t>
            </w: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r>
              <w:rPr>
                <w:b/>
                <w:color w:val="010000"/>
              </w:rPr>
              <w:t>KARAR</w:t>
            </w: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r>
              <w:rPr>
                <w:b/>
                <w:color w:val="010000"/>
              </w:rPr>
              <w:t>CAVİT MEHMET HÜYÜK BAŞVURUSU</w:t>
            </w: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color w:val="010000"/>
              </w:rPr>
            </w:pPr>
            <w:r>
              <w:rPr>
                <w:color w:val="010000"/>
              </w:rPr>
              <w:t>(Başvuru Numarası: 2019/20013)</w:t>
            </w: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color w:val="010000"/>
              </w:rPr>
            </w:pPr>
            <w:r>
              <w:rPr>
                <w:color w:val="010000"/>
              </w:rPr>
              <w:t>Karar Tarihi: 27/1/2021</w:t>
            </w: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color w:val="010000"/>
              </w:rPr>
            </w:pP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p>
        </w:tc>
      </w:tr>
      <w:tr w:rsidR="00071AF1" w:rsidRPr="00071AF1" w:rsidTr="00071AF1">
        <w:tblPrEx>
          <w:tblCellMar>
            <w:top w:w="0" w:type="dxa"/>
            <w:bottom w:w="0" w:type="dxa"/>
          </w:tblCellMar>
        </w:tblPrEx>
        <w:trPr>
          <w:trHeight w:val="500"/>
          <w:jc w:val="center"/>
        </w:trPr>
        <w:tc>
          <w:tcPr>
            <w:tcW w:w="9072" w:type="dxa"/>
            <w:vAlign w:val="center"/>
          </w:tcPr>
          <w:p w:rsidR="00071AF1" w:rsidRPr="00071AF1" w:rsidRDefault="00071AF1" w:rsidP="00071AF1">
            <w:pPr>
              <w:widowControl/>
              <w:suppressAutoHyphens w:val="0"/>
              <w:spacing w:after="200"/>
              <w:ind w:right="283"/>
              <w:jc w:val="center"/>
              <w:rPr>
                <w:b/>
                <w:color w:val="010000"/>
              </w:rPr>
            </w:pPr>
          </w:p>
        </w:tc>
      </w:tr>
    </w:tbl>
    <w:p w:rsidR="00071AF1" w:rsidRDefault="00071AF1" w:rsidP="00071AF1">
      <w:pPr>
        <w:widowControl/>
        <w:suppressAutoHyphens w:val="0"/>
        <w:spacing w:after="200"/>
        <w:ind w:left="283" w:right="283" w:firstLine="567"/>
        <w:jc w:val="both"/>
        <w:rPr>
          <w:b/>
          <w:color w:val="010000"/>
        </w:rPr>
        <w:sectPr w:rsidR="00071AF1" w:rsidSect="00071AF1">
          <w:headerReference w:type="default" r:id="rId6"/>
          <w:footerReference w:type="default" r:id="rId7"/>
          <w:pgSz w:w="11906" w:h="16838"/>
          <w:pgMar w:top="976" w:right="1417" w:bottom="941" w:left="1417" w:header="400" w:footer="400" w:gutter="0"/>
          <w:cols w:space="708"/>
          <w:titlePg/>
          <w:docGrid w:linePitch="326"/>
        </w:sectPr>
      </w:pPr>
    </w:p>
    <w:p w:rsidR="00071AF1" w:rsidRDefault="00071AF1" w:rsidP="00071AF1">
      <w:pPr>
        <w:widowControl/>
        <w:suppressAutoHyphens w:val="0"/>
        <w:spacing w:after="200"/>
        <w:ind w:left="283" w:right="283" w:firstLine="567"/>
        <w:jc w:val="both"/>
        <w:rPr>
          <w:b/>
          <w:color w:val="010000"/>
        </w:rPr>
      </w:pPr>
    </w:p>
    <w:p w:rsidR="004027B9" w:rsidRPr="00071AF1" w:rsidRDefault="0041100A" w:rsidP="00071AF1">
      <w:pPr>
        <w:widowControl/>
        <w:suppressAutoHyphens w:val="0"/>
        <w:spacing w:after="200"/>
        <w:ind w:left="283" w:right="283" w:firstLine="1"/>
        <w:jc w:val="center"/>
        <w:rPr>
          <w:color w:val="010000"/>
        </w:rPr>
      </w:pPr>
      <w:r w:rsidRPr="00071AF1">
        <w:rPr>
          <w:b/>
          <w:color w:val="010000"/>
        </w:rPr>
        <w:t>İKİNCİ BÖLÜM</w:t>
      </w:r>
    </w:p>
    <w:p w:rsidR="004027B9" w:rsidRPr="00071AF1" w:rsidRDefault="0041100A" w:rsidP="00071AF1">
      <w:pPr>
        <w:widowControl/>
        <w:suppressAutoHyphens w:val="0"/>
        <w:spacing w:after="200"/>
        <w:ind w:left="283" w:right="283" w:firstLine="1"/>
        <w:jc w:val="center"/>
        <w:rPr>
          <w:color w:val="010000"/>
        </w:rPr>
      </w:pPr>
      <w:r w:rsidRPr="00071AF1">
        <w:rPr>
          <w:b/>
          <w:color w:val="010000"/>
        </w:rPr>
        <w:t>KARAR</w:t>
      </w:r>
    </w:p>
    <w:p w:rsidR="00071AF1" w:rsidRDefault="00071AF1" w:rsidP="00071AF1">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071AF1" w:rsidRPr="00071AF1" w:rsidTr="00071AF1">
        <w:tblPrEx>
          <w:tblCellMar>
            <w:top w:w="0" w:type="dxa"/>
            <w:bottom w:w="0" w:type="dxa"/>
          </w:tblCellMar>
        </w:tblPrEx>
        <w:trPr>
          <w:trHeight w:val="454"/>
        </w:trPr>
        <w:tc>
          <w:tcPr>
            <w:tcW w:w="2400" w:type="dxa"/>
          </w:tcPr>
          <w:p w:rsidR="00071AF1" w:rsidRPr="00071AF1" w:rsidRDefault="00071AF1" w:rsidP="00071AF1">
            <w:pPr>
              <w:widowControl/>
              <w:suppressAutoHyphens w:val="0"/>
              <w:rPr>
                <w:b/>
                <w:color w:val="010000"/>
              </w:rPr>
            </w:pPr>
            <w:r w:rsidRPr="00071AF1">
              <w:rPr>
                <w:b/>
                <w:color w:val="010000"/>
              </w:rPr>
              <w:t>Başkan</w:t>
            </w:r>
          </w:p>
        </w:tc>
        <w:tc>
          <w:tcPr>
            <w:tcW w:w="200" w:type="dxa"/>
          </w:tcPr>
          <w:p w:rsidR="00071AF1" w:rsidRPr="00071AF1" w:rsidRDefault="00071AF1" w:rsidP="00071AF1">
            <w:pPr>
              <w:widowControl/>
              <w:suppressAutoHyphens w:val="0"/>
              <w:rPr>
                <w:b/>
                <w:color w:val="010000"/>
              </w:rPr>
            </w:pPr>
            <w:r w:rsidRPr="00071AF1">
              <w:rPr>
                <w:b/>
                <w:color w:val="010000"/>
              </w:rPr>
              <w:t>:</w:t>
            </w:r>
          </w:p>
        </w:tc>
        <w:tc>
          <w:tcPr>
            <w:tcW w:w="5400" w:type="dxa"/>
          </w:tcPr>
          <w:p w:rsidR="00071AF1" w:rsidRPr="00071AF1" w:rsidRDefault="00071AF1" w:rsidP="00071AF1">
            <w:pPr>
              <w:widowControl/>
              <w:suppressAutoHyphens w:val="0"/>
              <w:rPr>
                <w:color w:val="010000"/>
              </w:rPr>
            </w:pPr>
            <w:r w:rsidRPr="00071AF1">
              <w:rPr>
                <w:color w:val="010000"/>
              </w:rPr>
              <w:t>Kadir ÖZKAYA</w:t>
            </w:r>
          </w:p>
        </w:tc>
      </w:tr>
      <w:tr w:rsidR="00071AF1" w:rsidRPr="00071AF1" w:rsidTr="00071AF1">
        <w:tblPrEx>
          <w:tblCellMar>
            <w:top w:w="0" w:type="dxa"/>
            <w:bottom w:w="0" w:type="dxa"/>
          </w:tblCellMar>
        </w:tblPrEx>
        <w:trPr>
          <w:trHeight w:val="454"/>
        </w:trPr>
        <w:tc>
          <w:tcPr>
            <w:tcW w:w="2400" w:type="dxa"/>
          </w:tcPr>
          <w:p w:rsidR="00071AF1" w:rsidRPr="00071AF1" w:rsidRDefault="00071AF1" w:rsidP="00071AF1">
            <w:pPr>
              <w:widowControl/>
              <w:suppressAutoHyphens w:val="0"/>
              <w:rPr>
                <w:b/>
                <w:color w:val="010000"/>
              </w:rPr>
            </w:pPr>
            <w:r w:rsidRPr="00071AF1">
              <w:rPr>
                <w:b/>
                <w:color w:val="010000"/>
              </w:rPr>
              <w:t>Üyeler</w:t>
            </w:r>
          </w:p>
        </w:tc>
        <w:tc>
          <w:tcPr>
            <w:tcW w:w="200" w:type="dxa"/>
          </w:tcPr>
          <w:p w:rsidR="00071AF1" w:rsidRPr="00071AF1" w:rsidRDefault="00071AF1" w:rsidP="00071AF1">
            <w:pPr>
              <w:widowControl/>
              <w:suppressAutoHyphens w:val="0"/>
              <w:rPr>
                <w:b/>
                <w:color w:val="010000"/>
              </w:rPr>
            </w:pPr>
            <w:r w:rsidRPr="00071AF1">
              <w:rPr>
                <w:b/>
                <w:color w:val="010000"/>
              </w:rPr>
              <w:t>:</w:t>
            </w:r>
          </w:p>
        </w:tc>
        <w:tc>
          <w:tcPr>
            <w:tcW w:w="5400" w:type="dxa"/>
          </w:tcPr>
          <w:p w:rsidR="00071AF1" w:rsidRPr="00071AF1" w:rsidRDefault="00071AF1" w:rsidP="00071AF1">
            <w:pPr>
              <w:widowControl/>
              <w:suppressAutoHyphens w:val="0"/>
              <w:rPr>
                <w:color w:val="010000"/>
              </w:rPr>
            </w:pPr>
            <w:r w:rsidRPr="00071AF1">
              <w:rPr>
                <w:color w:val="010000"/>
              </w:rPr>
              <w:t>Engin YILDIRIM</w:t>
            </w:r>
          </w:p>
        </w:tc>
      </w:tr>
      <w:tr w:rsidR="00071AF1" w:rsidRPr="00071AF1" w:rsidTr="00071AF1">
        <w:tblPrEx>
          <w:tblCellMar>
            <w:top w:w="0" w:type="dxa"/>
            <w:bottom w:w="0" w:type="dxa"/>
          </w:tblCellMar>
        </w:tblPrEx>
        <w:trPr>
          <w:trHeight w:val="454"/>
        </w:trPr>
        <w:tc>
          <w:tcPr>
            <w:tcW w:w="2400" w:type="dxa"/>
          </w:tcPr>
          <w:p w:rsidR="00071AF1" w:rsidRPr="00071AF1" w:rsidRDefault="00071AF1" w:rsidP="00071AF1">
            <w:pPr>
              <w:widowControl/>
              <w:suppressAutoHyphens w:val="0"/>
              <w:rPr>
                <w:b/>
                <w:color w:val="010000"/>
              </w:rPr>
            </w:pPr>
          </w:p>
        </w:tc>
        <w:tc>
          <w:tcPr>
            <w:tcW w:w="200" w:type="dxa"/>
          </w:tcPr>
          <w:p w:rsidR="00071AF1" w:rsidRPr="00071AF1" w:rsidRDefault="00071AF1" w:rsidP="00071AF1">
            <w:pPr>
              <w:widowControl/>
              <w:suppressAutoHyphens w:val="0"/>
              <w:rPr>
                <w:b/>
                <w:color w:val="010000"/>
              </w:rPr>
            </w:pPr>
          </w:p>
        </w:tc>
        <w:tc>
          <w:tcPr>
            <w:tcW w:w="5400" w:type="dxa"/>
          </w:tcPr>
          <w:p w:rsidR="00071AF1" w:rsidRPr="00071AF1" w:rsidRDefault="00071AF1" w:rsidP="00071AF1">
            <w:pPr>
              <w:widowControl/>
              <w:suppressAutoHyphens w:val="0"/>
              <w:rPr>
                <w:color w:val="010000"/>
              </w:rPr>
            </w:pPr>
            <w:r w:rsidRPr="00071AF1">
              <w:rPr>
                <w:color w:val="010000"/>
              </w:rPr>
              <w:t>Celal Mümtaz AKINCI</w:t>
            </w:r>
          </w:p>
        </w:tc>
      </w:tr>
      <w:tr w:rsidR="00071AF1" w:rsidRPr="00071AF1" w:rsidTr="00071AF1">
        <w:tblPrEx>
          <w:tblCellMar>
            <w:top w:w="0" w:type="dxa"/>
            <w:bottom w:w="0" w:type="dxa"/>
          </w:tblCellMar>
        </w:tblPrEx>
        <w:trPr>
          <w:trHeight w:val="454"/>
        </w:trPr>
        <w:tc>
          <w:tcPr>
            <w:tcW w:w="2400" w:type="dxa"/>
          </w:tcPr>
          <w:p w:rsidR="00071AF1" w:rsidRPr="00071AF1" w:rsidRDefault="00071AF1" w:rsidP="00071AF1">
            <w:pPr>
              <w:widowControl/>
              <w:suppressAutoHyphens w:val="0"/>
              <w:rPr>
                <w:b/>
                <w:color w:val="010000"/>
              </w:rPr>
            </w:pPr>
          </w:p>
        </w:tc>
        <w:tc>
          <w:tcPr>
            <w:tcW w:w="200" w:type="dxa"/>
          </w:tcPr>
          <w:p w:rsidR="00071AF1" w:rsidRPr="00071AF1" w:rsidRDefault="00071AF1" w:rsidP="00071AF1">
            <w:pPr>
              <w:widowControl/>
              <w:suppressAutoHyphens w:val="0"/>
              <w:rPr>
                <w:b/>
                <w:color w:val="010000"/>
              </w:rPr>
            </w:pPr>
          </w:p>
        </w:tc>
        <w:tc>
          <w:tcPr>
            <w:tcW w:w="5400" w:type="dxa"/>
          </w:tcPr>
          <w:p w:rsidR="00071AF1" w:rsidRPr="00071AF1" w:rsidRDefault="00071AF1" w:rsidP="00071AF1">
            <w:pPr>
              <w:widowControl/>
              <w:suppressAutoHyphens w:val="0"/>
              <w:rPr>
                <w:color w:val="010000"/>
              </w:rPr>
            </w:pPr>
            <w:r w:rsidRPr="00071AF1">
              <w:rPr>
                <w:color w:val="010000"/>
              </w:rPr>
              <w:t>Rıdvan GÜLEÇ</w:t>
            </w:r>
          </w:p>
        </w:tc>
      </w:tr>
      <w:tr w:rsidR="00071AF1" w:rsidRPr="00071AF1" w:rsidTr="00071AF1">
        <w:tblPrEx>
          <w:tblCellMar>
            <w:top w:w="0" w:type="dxa"/>
            <w:bottom w:w="0" w:type="dxa"/>
          </w:tblCellMar>
        </w:tblPrEx>
        <w:trPr>
          <w:trHeight w:val="454"/>
        </w:trPr>
        <w:tc>
          <w:tcPr>
            <w:tcW w:w="2400" w:type="dxa"/>
          </w:tcPr>
          <w:p w:rsidR="00071AF1" w:rsidRPr="00071AF1" w:rsidRDefault="00071AF1" w:rsidP="00071AF1">
            <w:pPr>
              <w:widowControl/>
              <w:suppressAutoHyphens w:val="0"/>
              <w:rPr>
                <w:b/>
                <w:color w:val="010000"/>
              </w:rPr>
            </w:pPr>
          </w:p>
        </w:tc>
        <w:tc>
          <w:tcPr>
            <w:tcW w:w="200" w:type="dxa"/>
          </w:tcPr>
          <w:p w:rsidR="00071AF1" w:rsidRPr="00071AF1" w:rsidRDefault="00071AF1" w:rsidP="00071AF1">
            <w:pPr>
              <w:widowControl/>
              <w:suppressAutoHyphens w:val="0"/>
              <w:rPr>
                <w:b/>
                <w:color w:val="010000"/>
              </w:rPr>
            </w:pPr>
          </w:p>
        </w:tc>
        <w:tc>
          <w:tcPr>
            <w:tcW w:w="5400" w:type="dxa"/>
          </w:tcPr>
          <w:p w:rsidR="00071AF1" w:rsidRPr="00071AF1" w:rsidRDefault="00071AF1" w:rsidP="00071AF1">
            <w:pPr>
              <w:widowControl/>
              <w:suppressAutoHyphens w:val="0"/>
              <w:rPr>
                <w:color w:val="010000"/>
              </w:rPr>
            </w:pPr>
            <w:r w:rsidRPr="00071AF1">
              <w:rPr>
                <w:color w:val="010000"/>
              </w:rPr>
              <w:t>Basri BAĞCI</w:t>
            </w:r>
          </w:p>
        </w:tc>
      </w:tr>
      <w:tr w:rsidR="00071AF1" w:rsidRPr="00071AF1" w:rsidTr="00071AF1">
        <w:tblPrEx>
          <w:tblCellMar>
            <w:top w:w="0" w:type="dxa"/>
            <w:bottom w:w="0" w:type="dxa"/>
          </w:tblCellMar>
        </w:tblPrEx>
        <w:trPr>
          <w:trHeight w:val="454"/>
        </w:trPr>
        <w:tc>
          <w:tcPr>
            <w:tcW w:w="2400" w:type="dxa"/>
          </w:tcPr>
          <w:p w:rsidR="00071AF1" w:rsidRPr="00071AF1" w:rsidRDefault="00071AF1" w:rsidP="00071AF1">
            <w:pPr>
              <w:widowControl/>
              <w:suppressAutoHyphens w:val="0"/>
              <w:rPr>
                <w:b/>
                <w:color w:val="010000"/>
              </w:rPr>
            </w:pPr>
            <w:r w:rsidRPr="00071AF1">
              <w:rPr>
                <w:b/>
                <w:color w:val="010000"/>
              </w:rPr>
              <w:t>Raportör</w:t>
            </w:r>
          </w:p>
        </w:tc>
        <w:tc>
          <w:tcPr>
            <w:tcW w:w="200" w:type="dxa"/>
          </w:tcPr>
          <w:p w:rsidR="00071AF1" w:rsidRPr="00071AF1" w:rsidRDefault="00071AF1" w:rsidP="00071AF1">
            <w:pPr>
              <w:widowControl/>
              <w:suppressAutoHyphens w:val="0"/>
              <w:rPr>
                <w:b/>
                <w:color w:val="010000"/>
              </w:rPr>
            </w:pPr>
            <w:r w:rsidRPr="00071AF1">
              <w:rPr>
                <w:b/>
                <w:color w:val="010000"/>
              </w:rPr>
              <w:t>:</w:t>
            </w:r>
          </w:p>
        </w:tc>
        <w:tc>
          <w:tcPr>
            <w:tcW w:w="5400" w:type="dxa"/>
          </w:tcPr>
          <w:p w:rsidR="00071AF1" w:rsidRPr="00071AF1" w:rsidRDefault="00071AF1" w:rsidP="00071AF1">
            <w:pPr>
              <w:widowControl/>
              <w:suppressAutoHyphens w:val="0"/>
              <w:rPr>
                <w:color w:val="010000"/>
              </w:rPr>
            </w:pPr>
            <w:r w:rsidRPr="00071AF1">
              <w:rPr>
                <w:color w:val="010000"/>
              </w:rPr>
              <w:t>Fatma Burcu NACAR YÜCE</w:t>
            </w:r>
          </w:p>
        </w:tc>
      </w:tr>
      <w:tr w:rsidR="00071AF1" w:rsidRPr="00071AF1" w:rsidTr="00071AF1">
        <w:tblPrEx>
          <w:tblCellMar>
            <w:top w:w="0" w:type="dxa"/>
            <w:bottom w:w="0" w:type="dxa"/>
          </w:tblCellMar>
        </w:tblPrEx>
        <w:trPr>
          <w:trHeight w:val="454"/>
        </w:trPr>
        <w:tc>
          <w:tcPr>
            <w:tcW w:w="2400" w:type="dxa"/>
          </w:tcPr>
          <w:p w:rsidR="00071AF1" w:rsidRPr="00071AF1" w:rsidRDefault="00071AF1" w:rsidP="00071AF1">
            <w:pPr>
              <w:widowControl/>
              <w:suppressAutoHyphens w:val="0"/>
              <w:rPr>
                <w:b/>
                <w:color w:val="010000"/>
              </w:rPr>
            </w:pPr>
            <w:r w:rsidRPr="00071AF1">
              <w:rPr>
                <w:b/>
                <w:color w:val="010000"/>
              </w:rPr>
              <w:t>Başvurucu</w:t>
            </w:r>
          </w:p>
        </w:tc>
        <w:tc>
          <w:tcPr>
            <w:tcW w:w="200" w:type="dxa"/>
          </w:tcPr>
          <w:p w:rsidR="00071AF1" w:rsidRPr="00071AF1" w:rsidRDefault="00071AF1" w:rsidP="00071AF1">
            <w:pPr>
              <w:widowControl/>
              <w:suppressAutoHyphens w:val="0"/>
              <w:rPr>
                <w:b/>
                <w:color w:val="010000"/>
              </w:rPr>
            </w:pPr>
            <w:r w:rsidRPr="00071AF1">
              <w:rPr>
                <w:b/>
                <w:color w:val="010000"/>
              </w:rPr>
              <w:t>:</w:t>
            </w:r>
          </w:p>
        </w:tc>
        <w:tc>
          <w:tcPr>
            <w:tcW w:w="5400" w:type="dxa"/>
          </w:tcPr>
          <w:p w:rsidR="00071AF1" w:rsidRPr="00071AF1" w:rsidRDefault="00071AF1" w:rsidP="00071AF1">
            <w:pPr>
              <w:widowControl/>
              <w:suppressAutoHyphens w:val="0"/>
              <w:rPr>
                <w:color w:val="010000"/>
              </w:rPr>
            </w:pPr>
            <w:r w:rsidRPr="00071AF1">
              <w:rPr>
                <w:color w:val="010000"/>
              </w:rPr>
              <w:t>Cavit Mehmet HÜYÜK</w:t>
            </w:r>
          </w:p>
        </w:tc>
      </w:tr>
      <w:tr w:rsidR="00071AF1" w:rsidRPr="00071AF1" w:rsidTr="00071AF1">
        <w:tblPrEx>
          <w:tblCellMar>
            <w:top w:w="0" w:type="dxa"/>
            <w:bottom w:w="0" w:type="dxa"/>
          </w:tblCellMar>
        </w:tblPrEx>
        <w:trPr>
          <w:trHeight w:val="454"/>
        </w:trPr>
        <w:tc>
          <w:tcPr>
            <w:tcW w:w="2400" w:type="dxa"/>
          </w:tcPr>
          <w:p w:rsidR="00071AF1" w:rsidRPr="00071AF1" w:rsidRDefault="00071AF1" w:rsidP="00071AF1">
            <w:pPr>
              <w:widowControl/>
              <w:suppressAutoHyphens w:val="0"/>
              <w:rPr>
                <w:b/>
                <w:color w:val="010000"/>
              </w:rPr>
            </w:pPr>
            <w:r w:rsidRPr="00071AF1">
              <w:rPr>
                <w:b/>
                <w:color w:val="010000"/>
              </w:rPr>
              <w:t>Vekili</w:t>
            </w:r>
          </w:p>
        </w:tc>
        <w:tc>
          <w:tcPr>
            <w:tcW w:w="200" w:type="dxa"/>
          </w:tcPr>
          <w:p w:rsidR="00071AF1" w:rsidRPr="00071AF1" w:rsidRDefault="00071AF1" w:rsidP="00071AF1">
            <w:pPr>
              <w:widowControl/>
              <w:suppressAutoHyphens w:val="0"/>
              <w:rPr>
                <w:b/>
                <w:color w:val="010000"/>
              </w:rPr>
            </w:pPr>
            <w:r w:rsidRPr="00071AF1">
              <w:rPr>
                <w:b/>
                <w:color w:val="010000"/>
              </w:rPr>
              <w:t>:</w:t>
            </w:r>
          </w:p>
        </w:tc>
        <w:tc>
          <w:tcPr>
            <w:tcW w:w="5400" w:type="dxa"/>
          </w:tcPr>
          <w:p w:rsidR="00071AF1" w:rsidRPr="00071AF1" w:rsidRDefault="00071AF1" w:rsidP="00071AF1">
            <w:pPr>
              <w:widowControl/>
              <w:suppressAutoHyphens w:val="0"/>
              <w:rPr>
                <w:color w:val="010000"/>
              </w:rPr>
            </w:pPr>
            <w:r w:rsidRPr="00071AF1">
              <w:rPr>
                <w:color w:val="010000"/>
              </w:rPr>
              <w:t>Av. Melih ÇELİK</w:t>
            </w:r>
          </w:p>
        </w:tc>
      </w:tr>
    </w:tbl>
    <w:p w:rsidR="00071AF1" w:rsidRDefault="00071AF1" w:rsidP="00071AF1">
      <w:pPr>
        <w:widowControl/>
        <w:suppressAutoHyphens w:val="0"/>
        <w:spacing w:after="200"/>
        <w:ind w:left="283" w:right="283" w:firstLine="567"/>
        <w:jc w:val="both"/>
        <w:rPr>
          <w:b/>
          <w:color w:val="010000"/>
        </w:rPr>
      </w:pPr>
    </w:p>
    <w:p w:rsidR="004027B9" w:rsidRPr="00071AF1" w:rsidRDefault="0041100A" w:rsidP="00071AF1">
      <w:pPr>
        <w:widowControl/>
        <w:suppressAutoHyphens w:val="0"/>
        <w:spacing w:after="200"/>
        <w:ind w:left="283" w:right="283" w:firstLine="567"/>
        <w:jc w:val="both"/>
        <w:rPr>
          <w:color w:val="010000"/>
        </w:rPr>
      </w:pPr>
      <w:r w:rsidRPr="00071AF1">
        <w:rPr>
          <w:b/>
          <w:color w:val="010000"/>
        </w:rPr>
        <w:t>I.</w:t>
      </w:r>
      <w:r w:rsidR="00071AF1" w:rsidRPr="00071AF1">
        <w:rPr>
          <w:color w:val="010000"/>
        </w:rPr>
        <w:t xml:space="preserve"> </w:t>
      </w:r>
      <w:r w:rsidRPr="00071AF1">
        <w:rPr>
          <w:b/>
          <w:color w:val="010000"/>
        </w:rPr>
        <w:t>BAŞVURUNUN KONUSU</w:t>
      </w:r>
    </w:p>
    <w:p w:rsidR="004027B9" w:rsidRPr="00071AF1" w:rsidRDefault="0041100A" w:rsidP="00071AF1">
      <w:pPr>
        <w:pStyle w:val="edf1450279197849"/>
        <w:widowControl/>
        <w:suppressAutoHyphens w:val="0"/>
        <w:spacing w:after="200"/>
        <w:ind w:left="283" w:right="283" w:firstLine="567"/>
        <w:jc w:val="both"/>
        <w:rPr>
          <w:rFonts w:cs="Times New Roman"/>
          <w:color w:val="010000"/>
        </w:rPr>
      </w:pPr>
      <w:r w:rsidRPr="00071AF1">
        <w:rPr>
          <w:rFonts w:cs="Times New Roman"/>
          <w:color w:val="010000"/>
        </w:rPr>
        <w:t>1.</w:t>
      </w:r>
      <w:r w:rsidR="00071AF1" w:rsidRPr="00071AF1">
        <w:rPr>
          <w:rFonts w:cs="Times New Roman"/>
          <w:color w:val="010000"/>
        </w:rPr>
        <w:t xml:space="preserve"> </w:t>
      </w:r>
      <w:r w:rsidRPr="00071AF1">
        <w:rPr>
          <w:rFonts w:cs="Times New Roman"/>
          <w:color w:val="010000"/>
        </w:rPr>
        <w:t xml:space="preserve">Başvuru, kamulaştırma işleminin iptali istemiyle açılan davada gerekçesiz, hakkaniyete aykırı karar verilmesi ve yargılamanın uzun sürmesi nedenleriyle adil yargılanma hakkının ve mülkiyet hakkının ihlal edildiği iddiasına ilişkindir. </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II.</w:t>
      </w:r>
      <w:r w:rsidR="00071AF1" w:rsidRPr="00071AF1">
        <w:rPr>
          <w:color w:val="010000"/>
        </w:rPr>
        <w:t xml:space="preserve"> </w:t>
      </w:r>
      <w:r w:rsidRPr="00071AF1">
        <w:rPr>
          <w:b/>
          <w:color w:val="010000"/>
        </w:rPr>
        <w:t>BAŞVURU SÜRECİ</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2.</w:t>
      </w:r>
      <w:r w:rsidR="00071AF1" w:rsidRPr="00071AF1">
        <w:rPr>
          <w:color w:val="010000"/>
        </w:rPr>
        <w:t xml:space="preserve"> </w:t>
      </w:r>
      <w:r w:rsidRPr="00071AF1">
        <w:rPr>
          <w:color w:val="010000"/>
        </w:rPr>
        <w:t>Başvuru 10/6/2019 tarihinde yapılmıştır.</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3.</w:t>
      </w:r>
      <w:r w:rsidR="00071AF1" w:rsidRPr="00071AF1">
        <w:rPr>
          <w:color w:val="010000"/>
        </w:rPr>
        <w:t xml:space="preserve"> </w:t>
      </w:r>
      <w:r w:rsidRPr="00071AF1">
        <w:rPr>
          <w:color w:val="010000"/>
        </w:rPr>
        <w:t>Başvuru, başvuru formu ve eklerinin idari yönden yapılan ön incelemesinden sonra Komisyona sunulmuştur.</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4.</w:t>
      </w:r>
      <w:r w:rsidR="00071AF1" w:rsidRPr="00071AF1">
        <w:rPr>
          <w:color w:val="010000"/>
        </w:rPr>
        <w:t xml:space="preserve"> </w:t>
      </w:r>
      <w:r w:rsidRPr="00071AF1">
        <w:rPr>
          <w:color w:val="010000"/>
        </w:rPr>
        <w:t xml:space="preserve">Komisyonca başvurunun kabul edilebilirlik incelemesinin Bölüm tarafından yapılmasına karar verilmiştir. </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5.</w:t>
      </w:r>
      <w:r w:rsidR="00071AF1" w:rsidRPr="00071AF1">
        <w:rPr>
          <w:color w:val="010000"/>
        </w:rPr>
        <w:t xml:space="preserve"> </w:t>
      </w:r>
      <w:r w:rsidRPr="00071AF1">
        <w:rPr>
          <w:color w:val="010000"/>
        </w:rPr>
        <w:t>Bölüm Başkanı tarafından başvurunun kabul edilebilirlik ve esas incelemesinin birlikte yapılmasına karar verilmiştir.</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6.</w:t>
      </w:r>
      <w:r w:rsidR="00071AF1" w:rsidRPr="00071AF1">
        <w:rPr>
          <w:color w:val="010000"/>
        </w:rPr>
        <w:t xml:space="preserve"> </w:t>
      </w:r>
      <w:r w:rsidRPr="00071AF1">
        <w:rPr>
          <w:color w:val="010000"/>
        </w:rPr>
        <w:t xml:space="preserve">Başvuru belgelerinin bir örneği bilgi için Adalet Bakanlığına (Bakanlık) gönderilmiştir. Anayasa Mahkemesi İçtüzüğü'nün 71. maddesinin (2) numaralı fıkrası uyarınca başvurunun içtihadın oluştuğu alana ilişkin olduğu değerlendirilerek Bakanlık cevabı beklenmeden incelenmesine karar verilmiştir. </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III.</w:t>
      </w:r>
      <w:r w:rsidR="00071AF1" w:rsidRPr="00071AF1">
        <w:rPr>
          <w:color w:val="010000"/>
        </w:rPr>
        <w:t xml:space="preserve"> </w:t>
      </w:r>
      <w:r w:rsidRPr="00071AF1">
        <w:rPr>
          <w:b/>
          <w:color w:val="010000"/>
        </w:rPr>
        <w:t xml:space="preserve">OLAY VE OLGULAR </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7.</w:t>
      </w:r>
      <w:r w:rsidR="00071AF1" w:rsidRPr="00071AF1">
        <w:rPr>
          <w:color w:val="010000"/>
        </w:rPr>
        <w:t xml:space="preserve"> </w:t>
      </w:r>
      <w:r w:rsidRPr="00071AF1">
        <w:rPr>
          <w:color w:val="010000"/>
        </w:rPr>
        <w:t>Başvuru formu ve eklerinde ifade edildiği şekliyle ilgili olaylar özetle şöyledir:</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8.</w:t>
      </w:r>
      <w:r w:rsidR="00071AF1" w:rsidRPr="00071AF1">
        <w:rPr>
          <w:color w:val="010000"/>
        </w:rPr>
        <w:t xml:space="preserve"> </w:t>
      </w:r>
      <w:r w:rsidRPr="00071AF1">
        <w:rPr>
          <w:color w:val="010000"/>
        </w:rPr>
        <w:t>Başvurucunun 30/4/2013 tarihinde idare mahkemesinde açtığı davanın yargılaması 10/9/2019 tarihinde tamamlanmıştır.</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9.</w:t>
      </w:r>
      <w:r w:rsidR="00071AF1" w:rsidRPr="00071AF1">
        <w:rPr>
          <w:color w:val="010000"/>
        </w:rPr>
        <w:t xml:space="preserve"> </w:t>
      </w:r>
      <w:r w:rsidRPr="00071AF1">
        <w:rPr>
          <w:color w:val="010000"/>
        </w:rPr>
        <w:t xml:space="preserve">Başvurucu, delillerin değerlendirilmesi ve hukuk kurallarının uygulanmasında hata yapılarak gerekçesiz, adil olmayan bir karar verilmesi ve yargılamanın uzun sürmesi </w:t>
      </w:r>
      <w:r w:rsidRPr="00071AF1">
        <w:rPr>
          <w:color w:val="010000"/>
        </w:rPr>
        <w:lastRenderedPageBreak/>
        <w:t>nedenleriyle adil yargılanma hakkı ve mülkiyet hakkının ihlal edildiği iddiasıyla Anayasa Mahkemesine bireysel başvuruda bulunmuştur.</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IV.</w:t>
      </w:r>
      <w:r w:rsidR="00071AF1" w:rsidRPr="00071AF1">
        <w:rPr>
          <w:color w:val="010000"/>
        </w:rPr>
        <w:t xml:space="preserve"> </w:t>
      </w:r>
      <w:r w:rsidRPr="00071AF1">
        <w:rPr>
          <w:b/>
          <w:color w:val="010000"/>
        </w:rPr>
        <w:t>İNCELEME VE GEREKÇE</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10.</w:t>
      </w:r>
      <w:r w:rsidR="00071AF1" w:rsidRPr="00071AF1">
        <w:rPr>
          <w:color w:val="010000"/>
        </w:rPr>
        <w:t xml:space="preserve"> </w:t>
      </w:r>
      <w:r w:rsidRPr="00071AF1">
        <w:rPr>
          <w:color w:val="010000"/>
        </w:rPr>
        <w:t>Mahkemenin 27/1/2021 tarihinde yapmış olduğu toplantıda başvuru incelenip gereği düşünüldü:</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A.</w:t>
      </w:r>
      <w:r w:rsidR="00071AF1" w:rsidRPr="00071AF1">
        <w:rPr>
          <w:color w:val="010000"/>
        </w:rPr>
        <w:t xml:space="preserve"> </w:t>
      </w:r>
      <w:r w:rsidRPr="00071AF1">
        <w:rPr>
          <w:b/>
          <w:color w:val="010000"/>
        </w:rPr>
        <w:t>Makul Sürede Yargılanma Hakkının İhlal Edildiğine İlişkin İddia</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1.</w:t>
      </w:r>
      <w:r w:rsidR="00071AF1" w:rsidRPr="00071AF1">
        <w:rPr>
          <w:color w:val="010000"/>
        </w:rPr>
        <w:t xml:space="preserve"> </w:t>
      </w:r>
      <w:r w:rsidRPr="00071AF1">
        <w:rPr>
          <w:b/>
          <w:color w:val="010000"/>
        </w:rPr>
        <w:t>Başvurucunun İddiaları</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11.</w:t>
      </w:r>
      <w:r w:rsidR="00071AF1" w:rsidRPr="00071AF1">
        <w:rPr>
          <w:color w:val="010000"/>
        </w:rPr>
        <w:t xml:space="preserve"> </w:t>
      </w:r>
      <w:r w:rsidRPr="00071AF1">
        <w:rPr>
          <w:color w:val="010000"/>
        </w:rPr>
        <w:t>Başvurucu, uzun süren yargılama nedeniyle makul sürede yargılanma hakkınınihlal edildiğini ileri sürmüştür.</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2.</w:t>
      </w:r>
      <w:r w:rsidR="00071AF1" w:rsidRPr="00071AF1">
        <w:rPr>
          <w:color w:val="010000"/>
        </w:rPr>
        <w:t xml:space="preserve"> </w:t>
      </w:r>
      <w:r w:rsidRPr="00071AF1">
        <w:rPr>
          <w:b/>
          <w:color w:val="010000"/>
        </w:rPr>
        <w:t>Değerlendirme</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a.</w:t>
      </w:r>
      <w:r w:rsidR="00071AF1" w:rsidRPr="00071AF1">
        <w:rPr>
          <w:color w:val="010000"/>
        </w:rPr>
        <w:t xml:space="preserve"> </w:t>
      </w:r>
      <w:r w:rsidRPr="00071AF1">
        <w:rPr>
          <w:b/>
          <w:color w:val="010000"/>
        </w:rPr>
        <w:t>Kabul Edilebilirlik Yönünden</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12.</w:t>
      </w:r>
      <w:r w:rsidR="00071AF1" w:rsidRPr="00071AF1">
        <w:rPr>
          <w:color w:val="010000"/>
        </w:rPr>
        <w:t xml:space="preserve"> </w:t>
      </w:r>
      <w:r w:rsidRPr="00071AF1">
        <w:rPr>
          <w:color w:val="010000"/>
        </w:rPr>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b.</w:t>
      </w:r>
      <w:r w:rsidR="00071AF1" w:rsidRPr="00071AF1">
        <w:rPr>
          <w:color w:val="010000"/>
        </w:rPr>
        <w:t xml:space="preserve"> </w:t>
      </w:r>
      <w:r w:rsidRPr="00071AF1">
        <w:rPr>
          <w:b/>
          <w:color w:val="010000"/>
        </w:rPr>
        <w:t>Esas Yönünden</w:t>
      </w:r>
    </w:p>
    <w:p w:rsidR="004027B9" w:rsidRPr="00071AF1" w:rsidRDefault="0041100A" w:rsidP="00071AF1">
      <w:pPr>
        <w:pStyle w:val="edf1450279197849"/>
        <w:widowControl/>
        <w:suppressAutoHyphens w:val="0"/>
        <w:spacing w:after="200"/>
        <w:ind w:left="283" w:right="283" w:firstLine="567"/>
        <w:jc w:val="both"/>
        <w:rPr>
          <w:rFonts w:cs="Times New Roman"/>
          <w:color w:val="010000"/>
        </w:rPr>
      </w:pPr>
      <w:r w:rsidRPr="00071AF1">
        <w:rPr>
          <w:rFonts w:cs="Times New Roman"/>
          <w:color w:val="010000"/>
        </w:rPr>
        <w:t>13.</w:t>
      </w:r>
      <w:r w:rsidR="00071AF1" w:rsidRPr="00071AF1">
        <w:rPr>
          <w:rFonts w:cs="Times New Roman"/>
          <w:color w:val="010000"/>
        </w:rPr>
        <w:t xml:space="preserve"> </w:t>
      </w:r>
      <w:r w:rsidRPr="00071AF1">
        <w:rPr>
          <w:rFonts w:cs="Times New Roman"/>
          <w:color w:val="010000"/>
        </w:rPr>
        <w:t>Medeni hak ve yükümlülüklerle ilgili uyuşmazlıklara ilişkin idari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sidRPr="00071AF1">
        <w:rPr>
          <w:rFonts w:cs="Times New Roman"/>
          <w:i/>
          <w:iCs/>
          <w:color w:val="010000"/>
        </w:rPr>
        <w:t>Selahattin Akyıl,</w:t>
      </w:r>
      <w:r w:rsidRPr="00071AF1">
        <w:rPr>
          <w:rFonts w:cs="Times New Roman"/>
          <w:color w:val="010000"/>
        </w:rPr>
        <w:t xml:space="preserve"> B. No: 2012/1198, 7/11/2013, §§ 45, 47).</w:t>
      </w:r>
    </w:p>
    <w:p w:rsidR="004027B9" w:rsidRPr="00071AF1" w:rsidRDefault="0041100A" w:rsidP="00071AF1">
      <w:pPr>
        <w:pStyle w:val="edf1450279197849"/>
        <w:widowControl/>
        <w:suppressAutoHyphens w:val="0"/>
        <w:spacing w:after="200"/>
        <w:ind w:left="283" w:right="283" w:firstLine="567"/>
        <w:jc w:val="both"/>
        <w:rPr>
          <w:rFonts w:cs="Times New Roman"/>
          <w:color w:val="010000"/>
        </w:rPr>
      </w:pPr>
      <w:r w:rsidRPr="00071AF1">
        <w:rPr>
          <w:rFonts w:cs="Times New Roman"/>
          <w:color w:val="010000"/>
        </w:rPr>
        <w:t>14.</w:t>
      </w:r>
      <w:r w:rsidR="00071AF1" w:rsidRPr="00071AF1">
        <w:rPr>
          <w:rFonts w:cs="Times New Roman"/>
          <w:color w:val="010000"/>
        </w:rPr>
        <w:t xml:space="preserve"> </w:t>
      </w:r>
      <w:r w:rsidRPr="00071AF1">
        <w:rPr>
          <w:rFonts w:cs="Times New Roman"/>
          <w:color w:val="010000"/>
        </w:rPr>
        <w:t>Medeni hak ve yükümlülüklerle ilgili uyuşmazlıklara ilişkin idari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sidRPr="00071AF1">
        <w:rPr>
          <w:rFonts w:cs="Times New Roman"/>
          <w:i/>
          <w:iCs/>
          <w:color w:val="010000"/>
        </w:rPr>
        <w:t>Selahattin Akyıl,</w:t>
      </w:r>
      <w:r w:rsidRPr="00071AF1">
        <w:rPr>
          <w:rFonts w:cs="Times New Roman"/>
          <w:color w:val="010000"/>
        </w:rPr>
        <w:t xml:space="preserve"> § 41).</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15.</w:t>
      </w:r>
      <w:r w:rsidR="00071AF1" w:rsidRPr="00071AF1">
        <w:rPr>
          <w:color w:val="010000"/>
        </w:rPr>
        <w:t xml:space="preserve"> </w:t>
      </w:r>
      <w:r w:rsidRPr="00071AF1">
        <w:rPr>
          <w:color w:val="010000"/>
        </w:rPr>
        <w:t xml:space="preserve">Anılan ilkeler ve Anayasa Mahkemesinin benzer başvurularda verdiği kararlar dikkate alındığında yaklaşık 6 yıl 4 aylık yargılama süresinin makul olmadığı sonucuna varmak gerekir. </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16.</w:t>
      </w:r>
      <w:r w:rsidR="00071AF1" w:rsidRPr="00071AF1">
        <w:rPr>
          <w:color w:val="010000"/>
        </w:rPr>
        <w:t xml:space="preserve"> </w:t>
      </w:r>
      <w:r w:rsidRPr="00071AF1">
        <w:rPr>
          <w:color w:val="010000"/>
        </w:rPr>
        <w:t>Açıklanan gerekçelerle Anayasa’nın 36. maddesinde güvence altına alınan makul sürede yargılanma hakkının ihlal edildiğine karar verilmesi gerekir.</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B.</w:t>
      </w:r>
      <w:r w:rsidR="00071AF1" w:rsidRPr="00071AF1">
        <w:rPr>
          <w:color w:val="010000"/>
        </w:rPr>
        <w:t xml:space="preserve"> </w:t>
      </w:r>
      <w:r w:rsidRPr="00071AF1">
        <w:rPr>
          <w:b/>
          <w:color w:val="010000"/>
        </w:rPr>
        <w:t>Diğer İhlal İddiaları</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17.</w:t>
      </w:r>
      <w:r w:rsidR="00071AF1" w:rsidRPr="00071AF1">
        <w:rPr>
          <w:color w:val="010000"/>
        </w:rPr>
        <w:t xml:space="preserve"> </w:t>
      </w:r>
      <w:r w:rsidRPr="00071AF1">
        <w:rPr>
          <w:color w:val="010000"/>
        </w:rPr>
        <w:t xml:space="preserve">Başvurucu, delillerin değerlendirilmesi ve hukuk kurallarının uygulanmasında hata yapılarak gerekçesiz, adil olmayan karar verilmesi nedeniyle adil yargılanma hakkı ve mülkiyet hakkının ihlal edildiğini ileri sürmüştür. Başvurucunun belirtilen şikâyetleri yönünden açık bir ihlalin bulunmadığı değerlendirildiğinden diğer kabul edilebilirlik koşulları yönünden incelenmeksizin başvurunun bu kısmının </w:t>
      </w:r>
      <w:r w:rsidRPr="00071AF1">
        <w:rPr>
          <w:i/>
          <w:iCs/>
          <w:color w:val="010000"/>
        </w:rPr>
        <w:t>açıkça dayanaktan yoksun</w:t>
      </w:r>
      <w:r w:rsidRPr="00071AF1">
        <w:rPr>
          <w:color w:val="010000"/>
        </w:rPr>
        <w:t xml:space="preserve"> </w:t>
      </w:r>
      <w:r w:rsidRPr="00071AF1">
        <w:rPr>
          <w:i/>
          <w:iCs/>
          <w:color w:val="010000"/>
        </w:rPr>
        <w:t>olması</w:t>
      </w:r>
      <w:r w:rsidRPr="00071AF1">
        <w:rPr>
          <w:color w:val="010000"/>
        </w:rPr>
        <w:t xml:space="preserve"> nedeniyle kabul edilemez olduğuna karar verilmesi gerekmektedir. </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C.</w:t>
      </w:r>
      <w:r w:rsidR="00071AF1" w:rsidRPr="00071AF1">
        <w:rPr>
          <w:color w:val="010000"/>
        </w:rPr>
        <w:t xml:space="preserve"> </w:t>
      </w:r>
      <w:r w:rsidRPr="00071AF1">
        <w:rPr>
          <w:b/>
          <w:color w:val="010000"/>
        </w:rPr>
        <w:t>6216 Sayılı Kanun'un 50. Maddesi Yönünden</w:t>
      </w:r>
    </w:p>
    <w:p w:rsidR="004027B9" w:rsidRPr="00071AF1" w:rsidRDefault="0041100A" w:rsidP="00071AF1">
      <w:pPr>
        <w:widowControl/>
        <w:suppressAutoHyphens w:val="0"/>
        <w:spacing w:after="200"/>
        <w:ind w:left="283" w:right="283" w:firstLine="567"/>
        <w:jc w:val="both"/>
        <w:rPr>
          <w:color w:val="010000"/>
        </w:rPr>
      </w:pPr>
      <w:r w:rsidRPr="00071AF1">
        <w:rPr>
          <w:color w:val="010000"/>
        </w:rPr>
        <w:lastRenderedPageBreak/>
        <w:t>18.</w:t>
      </w:r>
      <w:r w:rsidR="00071AF1" w:rsidRPr="00071AF1">
        <w:rPr>
          <w:color w:val="010000"/>
        </w:rPr>
        <w:t xml:space="preserve"> </w:t>
      </w:r>
      <w:r w:rsidRPr="00071AF1">
        <w:rPr>
          <w:color w:val="010000"/>
        </w:rPr>
        <w:t>30/3/2011 tarihli ve 6216 sayılı Anayasa Mahkemesinin Kuruluşu ve Yargılama Usulleri Hakkında Kanun’un 50. maddesinin ilgili kısmı şöyledir:</w:t>
      </w:r>
    </w:p>
    <w:p w:rsidR="004027B9" w:rsidRPr="00071AF1" w:rsidRDefault="00071AF1" w:rsidP="00071AF1">
      <w:pPr>
        <w:widowControl/>
        <w:suppressAutoHyphens w:val="0"/>
        <w:spacing w:after="200"/>
        <w:ind w:left="283" w:right="283" w:firstLine="567"/>
        <w:jc w:val="both"/>
        <w:rPr>
          <w:color w:val="010000"/>
        </w:rPr>
      </w:pPr>
      <w:r w:rsidRPr="00071AF1">
        <w:rPr>
          <w:i/>
          <w:iCs/>
          <w:color w:val="010000"/>
          <w:sz w:val="22"/>
        </w:rPr>
        <w:t xml:space="preserve"> </w:t>
      </w:r>
      <w:r w:rsidR="0041100A" w:rsidRPr="00071AF1">
        <w:rPr>
          <w:i/>
          <w:iCs/>
          <w:color w:val="010000"/>
          <w:sz w:val="22"/>
        </w:rPr>
        <w:t>“(1) Esas inceleme sonunda, başvurucunun hakkının ihlal edildiğine ya da edilmediğine karar verilir. İhlal kararı verilmesi hâlinde ihlalin ve sonuçlarının ortadan kaldırılması için yapılması gerekenlere hükmedilir…</w:t>
      </w:r>
    </w:p>
    <w:p w:rsidR="004027B9" w:rsidRPr="00071AF1" w:rsidRDefault="00071AF1" w:rsidP="00071AF1">
      <w:pPr>
        <w:widowControl/>
        <w:suppressAutoHyphens w:val="0"/>
        <w:spacing w:after="200"/>
        <w:ind w:left="283" w:right="283" w:firstLine="567"/>
        <w:jc w:val="both"/>
        <w:rPr>
          <w:color w:val="010000"/>
        </w:rPr>
      </w:pPr>
      <w:r w:rsidRPr="00071AF1">
        <w:rPr>
          <w:i/>
          <w:iCs/>
          <w:color w:val="010000"/>
          <w:sz w:val="22"/>
        </w:rPr>
        <w:t xml:space="preserve"> </w:t>
      </w:r>
      <w:r w:rsidR="0041100A" w:rsidRPr="00071AF1">
        <w:rPr>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19.</w:t>
      </w:r>
      <w:r w:rsidR="00071AF1" w:rsidRPr="00071AF1">
        <w:rPr>
          <w:color w:val="010000"/>
        </w:rPr>
        <w:t xml:space="preserve"> </w:t>
      </w:r>
      <w:r w:rsidRPr="00071AF1">
        <w:rPr>
          <w:color w:val="010000"/>
        </w:rPr>
        <w:t>Başvurucu, ihlalin tespiti ile oluşan zarar karşılığında maddi tazminata ve 100.000 TL manevi tazminata karar verilmesi talebinde bulunmuştur.</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20.</w:t>
      </w:r>
      <w:r w:rsidR="00071AF1" w:rsidRPr="00071AF1">
        <w:rPr>
          <w:color w:val="010000"/>
        </w:rPr>
        <w:t xml:space="preserve"> </w:t>
      </w:r>
      <w:r w:rsidRPr="00071AF1">
        <w:rPr>
          <w:color w:val="010000"/>
        </w:rPr>
        <w:t>Somut olayda, makul sürede yargılanma hakkının ihlal edildiği sonucuna varılmıştır.</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21.</w:t>
      </w:r>
      <w:r w:rsidR="00071AF1" w:rsidRPr="00071AF1">
        <w:rPr>
          <w:color w:val="010000"/>
        </w:rPr>
        <w:t xml:space="preserve"> </w:t>
      </w:r>
      <w:r w:rsidRPr="00071AF1">
        <w:rPr>
          <w:color w:val="010000"/>
        </w:rPr>
        <w:t>İhlal tespitiyle giderilemeyecek olan manevi zararları karşılığında başvurucuya net 10.000 TL manevi tazminat ödenmesine karar verilmesi gerekir.</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22.</w:t>
      </w:r>
      <w:r w:rsidR="00071AF1" w:rsidRPr="00071AF1">
        <w:rPr>
          <w:color w:val="010000"/>
        </w:rPr>
        <w:t xml:space="preserve"> </w:t>
      </w:r>
      <w:r w:rsidRPr="00071AF1">
        <w:rPr>
          <w:color w:val="010000"/>
        </w:rPr>
        <w:t>Dosyadaki belgelerden tespit edilen 364,60 TL harç ve 3.600 TL vekâlet ücretinden oluşan toplam 3.964,60 TL yargılama giderinin başvurucuya ödenmesine karar verilmesi gerekir.</w:t>
      </w:r>
      <w:r w:rsidR="00071AF1" w:rsidRPr="00071AF1">
        <w:rPr>
          <w:color w:val="010000"/>
        </w:rPr>
        <w:t xml:space="preserve"> </w:t>
      </w:r>
    </w:p>
    <w:p w:rsidR="004027B9" w:rsidRPr="00071AF1" w:rsidRDefault="0041100A" w:rsidP="00071AF1">
      <w:pPr>
        <w:widowControl/>
        <w:suppressAutoHyphens w:val="0"/>
        <w:spacing w:after="200"/>
        <w:ind w:left="283" w:right="283" w:firstLine="567"/>
        <w:jc w:val="both"/>
        <w:rPr>
          <w:color w:val="010000"/>
        </w:rPr>
      </w:pPr>
      <w:r w:rsidRPr="00071AF1">
        <w:rPr>
          <w:b/>
          <w:color w:val="010000"/>
        </w:rPr>
        <w:t>V.</w:t>
      </w:r>
      <w:r w:rsidR="00071AF1" w:rsidRPr="00071AF1">
        <w:rPr>
          <w:color w:val="010000"/>
        </w:rPr>
        <w:t xml:space="preserve"> </w:t>
      </w:r>
      <w:r w:rsidRPr="00071AF1">
        <w:rPr>
          <w:b/>
          <w:color w:val="010000"/>
        </w:rPr>
        <w:t>HÜKÜM</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Açıklanan gerekçelerle;</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A.</w:t>
      </w:r>
      <w:r w:rsidR="00071AF1" w:rsidRPr="00071AF1">
        <w:rPr>
          <w:color w:val="010000"/>
        </w:rPr>
        <w:t xml:space="preserve"> </w:t>
      </w:r>
      <w:r w:rsidRPr="00071AF1">
        <w:rPr>
          <w:color w:val="010000"/>
        </w:rPr>
        <w:t>1. Makul sürede yargılanma hakkının ihlal edildiğine ilişkin iddianın KABUL EDİLEBİLİR OLDUĞUNA,</w:t>
      </w:r>
    </w:p>
    <w:p w:rsidR="004027B9" w:rsidRPr="00071AF1" w:rsidRDefault="0041100A" w:rsidP="00071AF1">
      <w:pPr>
        <w:widowControl/>
        <w:suppressAutoHyphens w:val="0"/>
        <w:spacing w:after="200"/>
        <w:ind w:left="283" w:right="283" w:firstLine="850"/>
        <w:jc w:val="both"/>
        <w:rPr>
          <w:color w:val="010000"/>
        </w:rPr>
      </w:pPr>
      <w:r w:rsidRPr="00071AF1">
        <w:rPr>
          <w:color w:val="010000"/>
        </w:rPr>
        <w:t>2.</w:t>
      </w:r>
      <w:r w:rsidR="00071AF1" w:rsidRPr="00071AF1">
        <w:rPr>
          <w:color w:val="010000"/>
        </w:rPr>
        <w:t xml:space="preserve"> </w:t>
      </w:r>
      <w:r w:rsidRPr="00071AF1">
        <w:rPr>
          <w:color w:val="010000"/>
        </w:rPr>
        <w:t xml:space="preserve">Diğer ihlal iddialarının </w:t>
      </w:r>
      <w:r w:rsidRPr="00071AF1">
        <w:rPr>
          <w:i/>
          <w:iCs/>
          <w:color w:val="010000"/>
        </w:rPr>
        <w:t>açıkça dayanaktan yoksun olması</w:t>
      </w:r>
      <w:r w:rsidRPr="00071AF1">
        <w:rPr>
          <w:color w:val="010000"/>
        </w:rPr>
        <w:t xml:space="preserve"> nedeniyle KABUL EDİLEMEZ O</w:t>
      </w:r>
      <w:bookmarkStart w:id="0" w:name="_GoBack"/>
      <w:bookmarkEnd w:id="0"/>
      <w:r w:rsidRPr="00071AF1">
        <w:rPr>
          <w:color w:val="010000"/>
        </w:rPr>
        <w:t>LDUĞUNA,</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B.</w:t>
      </w:r>
      <w:r w:rsidR="00071AF1" w:rsidRPr="00071AF1">
        <w:rPr>
          <w:color w:val="010000"/>
        </w:rPr>
        <w:t xml:space="preserve"> </w:t>
      </w:r>
      <w:r w:rsidRPr="00071AF1">
        <w:rPr>
          <w:color w:val="010000"/>
        </w:rPr>
        <w:t xml:space="preserve">Anayasa’nın 36. maddesinde güvence altına alınan makul sürede yargılanma hakkının İHLAL EDİLDİĞİNE, </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C.</w:t>
      </w:r>
      <w:r w:rsidR="00071AF1" w:rsidRPr="00071AF1">
        <w:rPr>
          <w:color w:val="010000"/>
        </w:rPr>
        <w:t xml:space="preserve"> </w:t>
      </w:r>
      <w:r w:rsidRPr="00071AF1">
        <w:rPr>
          <w:color w:val="010000"/>
        </w:rPr>
        <w:t>Başvurucuya net 10.000 TL manevi tazminat ÖDENMESİNE, tazminata ilişkin diğer taleplerin REDDİNE,</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D.</w:t>
      </w:r>
      <w:r w:rsidR="00071AF1" w:rsidRPr="00071AF1">
        <w:rPr>
          <w:color w:val="010000"/>
        </w:rPr>
        <w:t xml:space="preserve"> </w:t>
      </w:r>
      <w:r w:rsidRPr="00071AF1">
        <w:rPr>
          <w:color w:val="010000"/>
        </w:rPr>
        <w:t>364,60 TL harç ve 3.600 TL vekâlet ücretinden oluşan toplam 3.964,60 TL yargılama giderinin başvurucuya ÖDENMESİNE,</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E.</w:t>
      </w:r>
      <w:r w:rsidR="00071AF1" w:rsidRPr="00071AF1">
        <w:rPr>
          <w:color w:val="010000"/>
        </w:rPr>
        <w:t xml:space="preserve"> </w:t>
      </w:r>
      <w:r w:rsidRPr="00071AF1">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F.</w:t>
      </w:r>
      <w:r w:rsidR="00071AF1" w:rsidRPr="00071AF1">
        <w:rPr>
          <w:color w:val="010000"/>
        </w:rPr>
        <w:t xml:space="preserve"> </w:t>
      </w:r>
      <w:r w:rsidRPr="00071AF1">
        <w:rPr>
          <w:color w:val="010000"/>
        </w:rPr>
        <w:t>Kararın bir örneğinin bilgi için Hatay 1. İdare Mahkemesine (E.2019/343, K.2019/757) GÖNDERİLMESİNE,</w:t>
      </w:r>
    </w:p>
    <w:p w:rsidR="004027B9" w:rsidRPr="00071AF1" w:rsidRDefault="0041100A" w:rsidP="00071AF1">
      <w:pPr>
        <w:widowControl/>
        <w:suppressAutoHyphens w:val="0"/>
        <w:spacing w:after="200"/>
        <w:ind w:left="283" w:right="283" w:firstLine="567"/>
        <w:jc w:val="both"/>
        <w:rPr>
          <w:color w:val="010000"/>
        </w:rPr>
      </w:pPr>
      <w:r w:rsidRPr="00071AF1">
        <w:rPr>
          <w:color w:val="010000"/>
        </w:rPr>
        <w:t>G.</w:t>
      </w:r>
      <w:r w:rsidR="00071AF1" w:rsidRPr="00071AF1">
        <w:rPr>
          <w:color w:val="010000"/>
        </w:rPr>
        <w:t xml:space="preserve"> </w:t>
      </w:r>
      <w:r w:rsidRPr="00071AF1">
        <w:rPr>
          <w:color w:val="010000"/>
        </w:rPr>
        <w:t>Kararın bir örneğinin bilgi için Danıştay Altıncı Dairesine (E.2015/11465 K.2019/771) GÖNDERİLMESİNE,</w:t>
      </w:r>
    </w:p>
    <w:p w:rsidR="004027B9" w:rsidRPr="00071AF1" w:rsidRDefault="0041100A" w:rsidP="00071AF1">
      <w:pPr>
        <w:widowControl/>
        <w:suppressAutoHyphens w:val="0"/>
        <w:spacing w:after="200"/>
        <w:ind w:left="283" w:right="283" w:firstLine="567"/>
        <w:jc w:val="both"/>
        <w:rPr>
          <w:color w:val="010000"/>
        </w:rPr>
      </w:pPr>
      <w:r w:rsidRPr="00071AF1">
        <w:rPr>
          <w:color w:val="010000"/>
        </w:rPr>
        <w:lastRenderedPageBreak/>
        <w:t>H.</w:t>
      </w:r>
      <w:r w:rsidR="00071AF1" w:rsidRPr="00071AF1">
        <w:rPr>
          <w:color w:val="010000"/>
        </w:rPr>
        <w:t xml:space="preserve"> </w:t>
      </w:r>
      <w:r w:rsidRPr="00071AF1">
        <w:rPr>
          <w:color w:val="010000"/>
        </w:rPr>
        <w:t>Kararın bir örneğinin Adalet Bakanlığına GÖNDERİLMESİNE 27/1/2021 tarihinde OYBİRLİĞİYLE karar verildi.</w:t>
      </w:r>
    </w:p>
    <w:sectPr w:rsidR="004027B9" w:rsidRPr="00071AF1" w:rsidSect="00071AF1">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100A" w:rsidRDefault="0041100A">
      <w:r>
        <w:separator/>
      </w:r>
    </w:p>
  </w:endnote>
  <w:endnote w:type="continuationSeparator" w:id="0">
    <w:p w:rsidR="0041100A" w:rsidRDefault="004110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27B9" w:rsidRDefault="0041100A">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4027B9" w:rsidRDefault="004027B9">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100A" w:rsidRDefault="0041100A">
      <w:r>
        <w:separator/>
      </w:r>
    </w:p>
  </w:footnote>
  <w:footnote w:type="continuationSeparator" w:id="0">
    <w:p w:rsidR="0041100A" w:rsidRDefault="004110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27B9" w:rsidRDefault="0041100A">
    <w:pPr>
      <w:pStyle w:val="stBilgi"/>
      <w:tabs>
        <w:tab w:val="left" w:pos="2020"/>
      </w:tabs>
      <w:spacing w:line="288" w:lineRule="exact"/>
    </w:pPr>
    <w:r>
      <w:t>Başvuru Numarası</w:t>
    </w:r>
    <w:r>
      <w:tab/>
      <w:t>: 2019/20013</w:t>
    </w:r>
  </w:p>
  <w:p w:rsidR="004027B9" w:rsidRDefault="0041100A" w:rsidP="00071AF1">
    <w:pPr>
      <w:pStyle w:val="stBilgi"/>
      <w:tabs>
        <w:tab w:val="left" w:pos="2020"/>
      </w:tabs>
      <w:spacing w:line="288" w:lineRule="exact"/>
    </w:pPr>
    <w:r>
      <w:t>Karar Tarihi</w:t>
    </w:r>
    <w:r>
      <w:tab/>
      <w:t>: 27/1/2021</w:t>
    </w:r>
  </w:p>
  <w:p w:rsidR="00071AF1" w:rsidRDefault="00071AF1" w:rsidP="00071AF1">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2052"/>
    <w:rsid w:val="00071AF1"/>
    <w:rsid w:val="004027B9"/>
    <w:rsid w:val="0041100A"/>
    <w:rsid w:val="0043205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520DF90"/>
  <w15:chartTrackingRefBased/>
  <w15:docId w15:val="{A68F9BDA-478D-4590-A849-CB06FA598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614592400371">
    <w:name w:val="edf_1614592400371"/>
    <w:pPr>
      <w:widowControl w:val="0"/>
      <w:suppressAutoHyphens/>
    </w:pPr>
    <w:rPr>
      <w:rFonts w:ascii="Dialog" w:eastAsia="Andale Sans UI" w:hAnsi="Dialog" w:cs="Tahoma"/>
      <w:color w:val="000000"/>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1029</Words>
  <Characters>5868</Characters>
  <Application>Microsoft Office Word</Application>
  <DocSecurity>0</DocSecurity>
  <Lines>48</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Aslı BÜYÜKCAM</dc:creator>
  <cp:keywords/>
  <cp:lastModifiedBy>Sibel YÖNDEM</cp:lastModifiedBy>
  <cp:revision>3</cp:revision>
  <cp:lastPrinted>1899-12-31T21:00:00Z</cp:lastPrinted>
  <dcterms:created xsi:type="dcterms:W3CDTF">2021-03-01T11:36:00Z</dcterms:created>
  <dcterms:modified xsi:type="dcterms:W3CDTF">2021-03-03T20:28:00Z</dcterms:modified>
</cp:coreProperties>
</file>