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0063E7" w:rsidRDefault="000063E7" w:rsidP="000063E7">
      <w:pPr>
        <w:widowControl/>
        <w:suppressAutoHyphens w:val="0"/>
        <w:spacing w:after="200"/>
        <w:ind w:left="283" w:right="283" w:firstLine="567"/>
        <w:jc w:val="both"/>
        <w:rPr>
          <w:b/>
          <w:color w:val="010000"/>
          <w:sz w:val="28"/>
        </w:rPr>
      </w:pPr>
    </w:p>
    <w:p w:rsidR="000063E7" w:rsidRDefault="000063E7" w:rsidP="000063E7">
      <w:pPr>
        <w:widowControl/>
        <w:suppressAutoHyphens w:val="0"/>
        <w:spacing w:after="200"/>
        <w:ind w:left="283" w:right="283" w:firstLine="567"/>
        <w:jc w:val="both"/>
        <w:rPr>
          <w:b/>
          <w:color w:val="010000"/>
          <w:sz w:val="28"/>
        </w:rPr>
      </w:pPr>
    </w:p>
    <w:p w:rsidR="000063E7" w:rsidRDefault="000063E7" w:rsidP="000063E7">
      <w:pPr>
        <w:widowControl/>
        <w:suppressAutoHyphens w:val="0"/>
        <w:spacing w:after="200"/>
        <w:ind w:left="283" w:right="283" w:firstLine="567"/>
        <w:jc w:val="both"/>
        <w:rPr>
          <w:b/>
          <w:color w:val="010000"/>
          <w:sz w:val="28"/>
        </w:rPr>
      </w:pPr>
    </w:p>
    <w:p w:rsidR="000063E7" w:rsidRDefault="000063E7" w:rsidP="000063E7">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0063E7" w:rsidRPr="000063E7" w:rsidTr="000063E7">
        <w:tblPrEx>
          <w:tblCellMar>
            <w:top w:w="0" w:type="dxa"/>
            <w:bottom w:w="0" w:type="dxa"/>
          </w:tblCellMar>
        </w:tblPrEx>
        <w:trPr>
          <w:trHeight w:val="500"/>
          <w:jc w:val="center"/>
        </w:trPr>
        <w:tc>
          <w:tcPr>
            <w:tcW w:w="9072" w:type="dxa"/>
            <w:vAlign w:val="center"/>
          </w:tcPr>
          <w:p w:rsidR="000063E7" w:rsidRPr="000063E7" w:rsidRDefault="000063E7" w:rsidP="000063E7">
            <w:pPr>
              <w:widowControl/>
              <w:suppressAutoHyphens w:val="0"/>
              <w:spacing w:after="200"/>
              <w:ind w:right="283"/>
              <w:jc w:val="center"/>
              <w:rPr>
                <w:b/>
                <w:color w:val="010000"/>
                <w:sz w:val="28"/>
              </w:rPr>
            </w:pPr>
            <w:r>
              <w:rPr>
                <w:b/>
                <w:color w:val="010000"/>
                <w:sz w:val="28"/>
              </w:rPr>
              <w:t>TÜRKİYE CUMHURİYETİ</w:t>
            </w:r>
          </w:p>
        </w:tc>
      </w:tr>
      <w:tr w:rsidR="000063E7" w:rsidRPr="000063E7" w:rsidTr="000063E7">
        <w:tblPrEx>
          <w:tblCellMar>
            <w:top w:w="0" w:type="dxa"/>
            <w:bottom w:w="0" w:type="dxa"/>
          </w:tblCellMar>
        </w:tblPrEx>
        <w:trPr>
          <w:trHeight w:val="500"/>
          <w:jc w:val="center"/>
        </w:trPr>
        <w:tc>
          <w:tcPr>
            <w:tcW w:w="9072" w:type="dxa"/>
            <w:vAlign w:val="center"/>
          </w:tcPr>
          <w:p w:rsidR="000063E7" w:rsidRPr="000063E7" w:rsidRDefault="000063E7" w:rsidP="000063E7">
            <w:pPr>
              <w:widowControl/>
              <w:suppressAutoHyphens w:val="0"/>
              <w:spacing w:after="200"/>
              <w:ind w:right="283"/>
              <w:jc w:val="center"/>
              <w:rPr>
                <w:b/>
                <w:color w:val="010000"/>
                <w:sz w:val="32"/>
              </w:rPr>
            </w:pPr>
            <w:r>
              <w:rPr>
                <w:b/>
                <w:color w:val="010000"/>
                <w:sz w:val="32"/>
              </w:rPr>
              <w:t>ANAYASA MAHKEMESİ</w:t>
            </w:r>
          </w:p>
        </w:tc>
      </w:tr>
      <w:tr w:rsidR="000063E7" w:rsidRPr="000063E7" w:rsidTr="000063E7">
        <w:tblPrEx>
          <w:tblCellMar>
            <w:top w:w="0" w:type="dxa"/>
            <w:bottom w:w="0" w:type="dxa"/>
          </w:tblCellMar>
        </w:tblPrEx>
        <w:trPr>
          <w:trHeight w:val="500"/>
          <w:jc w:val="center"/>
        </w:trPr>
        <w:tc>
          <w:tcPr>
            <w:tcW w:w="9072" w:type="dxa"/>
            <w:vAlign w:val="center"/>
          </w:tcPr>
          <w:p w:rsidR="000063E7" w:rsidRPr="000063E7" w:rsidRDefault="000063E7" w:rsidP="000063E7">
            <w:pPr>
              <w:widowControl/>
              <w:suppressAutoHyphens w:val="0"/>
              <w:spacing w:after="200"/>
              <w:ind w:right="283"/>
              <w:jc w:val="center"/>
              <w:rPr>
                <w:b/>
                <w:color w:val="010000"/>
              </w:rPr>
            </w:pPr>
          </w:p>
        </w:tc>
      </w:tr>
      <w:tr w:rsidR="000063E7" w:rsidRPr="000063E7" w:rsidTr="000063E7">
        <w:tblPrEx>
          <w:tblCellMar>
            <w:top w:w="0" w:type="dxa"/>
            <w:bottom w:w="0" w:type="dxa"/>
          </w:tblCellMar>
        </w:tblPrEx>
        <w:trPr>
          <w:trHeight w:val="500"/>
          <w:jc w:val="center"/>
        </w:trPr>
        <w:tc>
          <w:tcPr>
            <w:tcW w:w="9072" w:type="dxa"/>
            <w:vAlign w:val="center"/>
          </w:tcPr>
          <w:p w:rsidR="000063E7" w:rsidRPr="000063E7" w:rsidRDefault="000063E7" w:rsidP="000063E7">
            <w:pPr>
              <w:widowControl/>
              <w:suppressAutoHyphens w:val="0"/>
              <w:spacing w:after="200"/>
              <w:ind w:right="283"/>
              <w:jc w:val="center"/>
              <w:rPr>
                <w:b/>
                <w:color w:val="010000"/>
              </w:rPr>
            </w:pPr>
          </w:p>
        </w:tc>
      </w:tr>
      <w:tr w:rsidR="000063E7" w:rsidRPr="000063E7" w:rsidTr="000063E7">
        <w:tblPrEx>
          <w:tblCellMar>
            <w:top w:w="0" w:type="dxa"/>
            <w:bottom w:w="0" w:type="dxa"/>
          </w:tblCellMar>
        </w:tblPrEx>
        <w:trPr>
          <w:trHeight w:val="500"/>
          <w:jc w:val="center"/>
        </w:trPr>
        <w:tc>
          <w:tcPr>
            <w:tcW w:w="9072" w:type="dxa"/>
            <w:vAlign w:val="center"/>
          </w:tcPr>
          <w:p w:rsidR="000063E7" w:rsidRPr="000063E7" w:rsidRDefault="000063E7" w:rsidP="000063E7">
            <w:pPr>
              <w:widowControl/>
              <w:suppressAutoHyphens w:val="0"/>
              <w:spacing w:after="200"/>
              <w:ind w:right="283"/>
              <w:jc w:val="center"/>
              <w:rPr>
                <w:b/>
                <w:color w:val="010000"/>
              </w:rPr>
            </w:pPr>
            <w:r>
              <w:rPr>
                <w:b/>
                <w:color w:val="010000"/>
              </w:rPr>
              <w:t>BİRİNCİ BÖLÜM</w:t>
            </w:r>
          </w:p>
        </w:tc>
      </w:tr>
      <w:tr w:rsidR="000063E7" w:rsidRPr="000063E7" w:rsidTr="000063E7">
        <w:tblPrEx>
          <w:tblCellMar>
            <w:top w:w="0" w:type="dxa"/>
            <w:bottom w:w="0" w:type="dxa"/>
          </w:tblCellMar>
        </w:tblPrEx>
        <w:trPr>
          <w:trHeight w:val="500"/>
          <w:jc w:val="center"/>
        </w:trPr>
        <w:tc>
          <w:tcPr>
            <w:tcW w:w="9072" w:type="dxa"/>
            <w:vAlign w:val="center"/>
          </w:tcPr>
          <w:p w:rsidR="000063E7" w:rsidRPr="000063E7" w:rsidRDefault="000063E7" w:rsidP="000063E7">
            <w:pPr>
              <w:widowControl/>
              <w:suppressAutoHyphens w:val="0"/>
              <w:spacing w:after="200"/>
              <w:ind w:right="283"/>
              <w:jc w:val="center"/>
              <w:rPr>
                <w:b/>
                <w:color w:val="010000"/>
              </w:rPr>
            </w:pPr>
          </w:p>
        </w:tc>
      </w:tr>
      <w:tr w:rsidR="000063E7" w:rsidRPr="000063E7" w:rsidTr="000063E7">
        <w:tblPrEx>
          <w:tblCellMar>
            <w:top w:w="0" w:type="dxa"/>
            <w:bottom w:w="0" w:type="dxa"/>
          </w:tblCellMar>
        </w:tblPrEx>
        <w:trPr>
          <w:trHeight w:val="500"/>
          <w:jc w:val="center"/>
        </w:trPr>
        <w:tc>
          <w:tcPr>
            <w:tcW w:w="9072" w:type="dxa"/>
            <w:vAlign w:val="center"/>
          </w:tcPr>
          <w:p w:rsidR="000063E7" w:rsidRPr="000063E7" w:rsidRDefault="000063E7" w:rsidP="000063E7">
            <w:pPr>
              <w:widowControl/>
              <w:suppressAutoHyphens w:val="0"/>
              <w:spacing w:after="200"/>
              <w:ind w:right="283"/>
              <w:jc w:val="center"/>
              <w:rPr>
                <w:b/>
                <w:color w:val="010000"/>
              </w:rPr>
            </w:pPr>
            <w:r>
              <w:rPr>
                <w:b/>
                <w:color w:val="010000"/>
              </w:rPr>
              <w:t>KARAR</w:t>
            </w:r>
          </w:p>
        </w:tc>
      </w:tr>
      <w:tr w:rsidR="000063E7" w:rsidRPr="000063E7" w:rsidTr="000063E7">
        <w:tblPrEx>
          <w:tblCellMar>
            <w:top w:w="0" w:type="dxa"/>
            <w:bottom w:w="0" w:type="dxa"/>
          </w:tblCellMar>
        </w:tblPrEx>
        <w:trPr>
          <w:trHeight w:val="500"/>
          <w:jc w:val="center"/>
        </w:trPr>
        <w:tc>
          <w:tcPr>
            <w:tcW w:w="9072" w:type="dxa"/>
            <w:vAlign w:val="center"/>
          </w:tcPr>
          <w:p w:rsidR="000063E7" w:rsidRPr="000063E7" w:rsidRDefault="000063E7" w:rsidP="000063E7">
            <w:pPr>
              <w:widowControl/>
              <w:suppressAutoHyphens w:val="0"/>
              <w:spacing w:after="200"/>
              <w:ind w:right="283"/>
              <w:jc w:val="center"/>
              <w:rPr>
                <w:b/>
                <w:color w:val="010000"/>
              </w:rPr>
            </w:pPr>
          </w:p>
        </w:tc>
      </w:tr>
      <w:tr w:rsidR="000063E7" w:rsidRPr="000063E7" w:rsidTr="000063E7">
        <w:tblPrEx>
          <w:tblCellMar>
            <w:top w:w="0" w:type="dxa"/>
            <w:bottom w:w="0" w:type="dxa"/>
          </w:tblCellMar>
        </w:tblPrEx>
        <w:trPr>
          <w:trHeight w:val="500"/>
          <w:jc w:val="center"/>
        </w:trPr>
        <w:tc>
          <w:tcPr>
            <w:tcW w:w="9072" w:type="dxa"/>
            <w:vAlign w:val="center"/>
          </w:tcPr>
          <w:p w:rsidR="000063E7" w:rsidRPr="000063E7" w:rsidRDefault="000063E7" w:rsidP="000063E7">
            <w:pPr>
              <w:widowControl/>
              <w:suppressAutoHyphens w:val="0"/>
              <w:spacing w:after="200"/>
              <w:ind w:right="283"/>
              <w:jc w:val="center"/>
              <w:rPr>
                <w:b/>
                <w:color w:val="010000"/>
              </w:rPr>
            </w:pPr>
            <w:r>
              <w:rPr>
                <w:b/>
                <w:color w:val="010000"/>
              </w:rPr>
              <w:t>RAMAZAN ERDOĞAN BAŞVURUSU</w:t>
            </w:r>
          </w:p>
        </w:tc>
      </w:tr>
      <w:tr w:rsidR="000063E7" w:rsidRPr="000063E7" w:rsidTr="000063E7">
        <w:tblPrEx>
          <w:tblCellMar>
            <w:top w:w="0" w:type="dxa"/>
            <w:bottom w:w="0" w:type="dxa"/>
          </w:tblCellMar>
        </w:tblPrEx>
        <w:trPr>
          <w:trHeight w:val="500"/>
          <w:jc w:val="center"/>
        </w:trPr>
        <w:tc>
          <w:tcPr>
            <w:tcW w:w="9072" w:type="dxa"/>
            <w:vAlign w:val="center"/>
          </w:tcPr>
          <w:p w:rsidR="000063E7" w:rsidRPr="000063E7" w:rsidRDefault="000063E7" w:rsidP="000063E7">
            <w:pPr>
              <w:widowControl/>
              <w:suppressAutoHyphens w:val="0"/>
              <w:spacing w:after="200"/>
              <w:ind w:right="283"/>
              <w:jc w:val="center"/>
              <w:rPr>
                <w:color w:val="010000"/>
              </w:rPr>
            </w:pPr>
            <w:r>
              <w:rPr>
                <w:color w:val="010000"/>
              </w:rPr>
              <w:t>(Başvuru Numarası: 2019/26356)</w:t>
            </w:r>
          </w:p>
        </w:tc>
      </w:tr>
      <w:tr w:rsidR="000063E7" w:rsidRPr="000063E7" w:rsidTr="000063E7">
        <w:tblPrEx>
          <w:tblCellMar>
            <w:top w:w="0" w:type="dxa"/>
            <w:bottom w:w="0" w:type="dxa"/>
          </w:tblCellMar>
        </w:tblPrEx>
        <w:trPr>
          <w:trHeight w:val="500"/>
          <w:jc w:val="center"/>
        </w:trPr>
        <w:tc>
          <w:tcPr>
            <w:tcW w:w="9072" w:type="dxa"/>
            <w:vAlign w:val="center"/>
          </w:tcPr>
          <w:p w:rsidR="000063E7" w:rsidRPr="000063E7" w:rsidRDefault="000063E7" w:rsidP="000063E7">
            <w:pPr>
              <w:widowControl/>
              <w:suppressAutoHyphens w:val="0"/>
              <w:spacing w:after="200"/>
              <w:ind w:right="283"/>
              <w:jc w:val="center"/>
              <w:rPr>
                <w:b/>
                <w:color w:val="010000"/>
              </w:rPr>
            </w:pPr>
          </w:p>
        </w:tc>
      </w:tr>
      <w:tr w:rsidR="000063E7" w:rsidRPr="000063E7" w:rsidTr="000063E7">
        <w:tblPrEx>
          <w:tblCellMar>
            <w:top w:w="0" w:type="dxa"/>
            <w:bottom w:w="0" w:type="dxa"/>
          </w:tblCellMar>
        </w:tblPrEx>
        <w:trPr>
          <w:trHeight w:val="500"/>
          <w:jc w:val="center"/>
        </w:trPr>
        <w:tc>
          <w:tcPr>
            <w:tcW w:w="9072" w:type="dxa"/>
            <w:vAlign w:val="center"/>
          </w:tcPr>
          <w:p w:rsidR="000063E7" w:rsidRPr="000063E7" w:rsidRDefault="000063E7" w:rsidP="000063E7">
            <w:pPr>
              <w:widowControl/>
              <w:suppressAutoHyphens w:val="0"/>
              <w:spacing w:after="200"/>
              <w:ind w:right="283"/>
              <w:jc w:val="center"/>
              <w:rPr>
                <w:color w:val="010000"/>
              </w:rPr>
            </w:pPr>
            <w:r>
              <w:rPr>
                <w:color w:val="010000"/>
              </w:rPr>
              <w:t>Karar Tarihi: 12/1/2023</w:t>
            </w:r>
          </w:p>
        </w:tc>
      </w:tr>
      <w:tr w:rsidR="000063E7" w:rsidRPr="000063E7" w:rsidTr="000063E7">
        <w:tblPrEx>
          <w:tblCellMar>
            <w:top w:w="0" w:type="dxa"/>
            <w:bottom w:w="0" w:type="dxa"/>
          </w:tblCellMar>
        </w:tblPrEx>
        <w:trPr>
          <w:trHeight w:val="500"/>
          <w:jc w:val="center"/>
        </w:trPr>
        <w:tc>
          <w:tcPr>
            <w:tcW w:w="9072" w:type="dxa"/>
            <w:vAlign w:val="center"/>
          </w:tcPr>
          <w:p w:rsidR="000063E7" w:rsidRPr="000063E7" w:rsidRDefault="000063E7" w:rsidP="000063E7">
            <w:pPr>
              <w:widowControl/>
              <w:suppressAutoHyphens w:val="0"/>
              <w:spacing w:after="200"/>
              <w:ind w:right="283"/>
              <w:jc w:val="center"/>
              <w:rPr>
                <w:color w:val="010000"/>
              </w:rPr>
            </w:pPr>
          </w:p>
        </w:tc>
      </w:tr>
      <w:tr w:rsidR="000063E7" w:rsidRPr="000063E7" w:rsidTr="000063E7">
        <w:tblPrEx>
          <w:tblCellMar>
            <w:top w:w="0" w:type="dxa"/>
            <w:bottom w:w="0" w:type="dxa"/>
          </w:tblCellMar>
        </w:tblPrEx>
        <w:trPr>
          <w:trHeight w:val="500"/>
          <w:jc w:val="center"/>
        </w:trPr>
        <w:tc>
          <w:tcPr>
            <w:tcW w:w="9072" w:type="dxa"/>
            <w:vAlign w:val="center"/>
          </w:tcPr>
          <w:p w:rsidR="000063E7" w:rsidRPr="000063E7" w:rsidRDefault="000063E7" w:rsidP="000063E7">
            <w:pPr>
              <w:widowControl/>
              <w:suppressAutoHyphens w:val="0"/>
              <w:spacing w:after="200"/>
              <w:ind w:right="283"/>
              <w:jc w:val="center"/>
              <w:rPr>
                <w:b/>
                <w:color w:val="010000"/>
              </w:rPr>
            </w:pPr>
          </w:p>
        </w:tc>
      </w:tr>
      <w:tr w:rsidR="000063E7" w:rsidRPr="000063E7" w:rsidTr="000063E7">
        <w:tblPrEx>
          <w:tblCellMar>
            <w:top w:w="0" w:type="dxa"/>
            <w:bottom w:w="0" w:type="dxa"/>
          </w:tblCellMar>
        </w:tblPrEx>
        <w:trPr>
          <w:trHeight w:val="500"/>
          <w:jc w:val="center"/>
        </w:trPr>
        <w:tc>
          <w:tcPr>
            <w:tcW w:w="9072" w:type="dxa"/>
            <w:vAlign w:val="center"/>
          </w:tcPr>
          <w:p w:rsidR="000063E7" w:rsidRPr="000063E7" w:rsidRDefault="000063E7" w:rsidP="000063E7">
            <w:pPr>
              <w:widowControl/>
              <w:suppressAutoHyphens w:val="0"/>
              <w:spacing w:after="200"/>
              <w:ind w:right="283"/>
              <w:jc w:val="center"/>
              <w:rPr>
                <w:b/>
                <w:color w:val="010000"/>
              </w:rPr>
            </w:pPr>
          </w:p>
        </w:tc>
      </w:tr>
      <w:tr w:rsidR="000063E7" w:rsidRPr="000063E7" w:rsidTr="000063E7">
        <w:tblPrEx>
          <w:tblCellMar>
            <w:top w:w="0" w:type="dxa"/>
            <w:bottom w:w="0" w:type="dxa"/>
          </w:tblCellMar>
        </w:tblPrEx>
        <w:trPr>
          <w:trHeight w:val="500"/>
          <w:jc w:val="center"/>
        </w:trPr>
        <w:tc>
          <w:tcPr>
            <w:tcW w:w="9072" w:type="dxa"/>
            <w:vAlign w:val="center"/>
          </w:tcPr>
          <w:p w:rsidR="000063E7" w:rsidRPr="000063E7" w:rsidRDefault="000063E7" w:rsidP="000063E7">
            <w:pPr>
              <w:widowControl/>
              <w:suppressAutoHyphens w:val="0"/>
              <w:spacing w:after="200"/>
              <w:ind w:right="283"/>
              <w:jc w:val="center"/>
              <w:rPr>
                <w:b/>
                <w:color w:val="010000"/>
              </w:rPr>
            </w:pPr>
          </w:p>
        </w:tc>
      </w:tr>
      <w:tr w:rsidR="000063E7" w:rsidRPr="000063E7" w:rsidTr="000063E7">
        <w:tblPrEx>
          <w:tblCellMar>
            <w:top w:w="0" w:type="dxa"/>
            <w:bottom w:w="0" w:type="dxa"/>
          </w:tblCellMar>
        </w:tblPrEx>
        <w:trPr>
          <w:trHeight w:val="500"/>
          <w:jc w:val="center"/>
        </w:trPr>
        <w:tc>
          <w:tcPr>
            <w:tcW w:w="9072" w:type="dxa"/>
            <w:vAlign w:val="center"/>
          </w:tcPr>
          <w:p w:rsidR="000063E7" w:rsidRPr="000063E7" w:rsidRDefault="000063E7" w:rsidP="000063E7">
            <w:pPr>
              <w:widowControl/>
              <w:suppressAutoHyphens w:val="0"/>
              <w:spacing w:after="200"/>
              <w:ind w:right="283"/>
              <w:jc w:val="center"/>
              <w:rPr>
                <w:b/>
                <w:color w:val="010000"/>
              </w:rPr>
            </w:pPr>
          </w:p>
        </w:tc>
      </w:tr>
    </w:tbl>
    <w:p w:rsidR="000063E7" w:rsidRDefault="000063E7" w:rsidP="000063E7">
      <w:pPr>
        <w:widowControl/>
        <w:suppressAutoHyphens w:val="0"/>
        <w:spacing w:after="200"/>
        <w:ind w:left="283" w:right="283" w:firstLine="567"/>
        <w:jc w:val="both"/>
        <w:rPr>
          <w:b/>
          <w:color w:val="010000"/>
        </w:rPr>
        <w:sectPr w:rsidR="000063E7" w:rsidSect="000063E7">
          <w:headerReference w:type="default" r:id="rId6"/>
          <w:pgSz w:w="11906" w:h="16838"/>
          <w:pgMar w:top="976" w:right="1417" w:bottom="1400" w:left="1417" w:header="400" w:footer="708" w:gutter="0"/>
          <w:cols w:space="708"/>
          <w:titlePg/>
          <w:docGrid w:linePitch="326"/>
        </w:sectPr>
      </w:pPr>
    </w:p>
    <w:p w:rsidR="000063E7" w:rsidRDefault="000063E7" w:rsidP="000063E7">
      <w:pPr>
        <w:widowControl/>
        <w:suppressAutoHyphens w:val="0"/>
        <w:spacing w:after="200"/>
        <w:ind w:left="283" w:right="283" w:firstLine="567"/>
        <w:jc w:val="both"/>
        <w:rPr>
          <w:b/>
          <w:color w:val="010000"/>
        </w:rPr>
      </w:pPr>
    </w:p>
    <w:p w:rsidR="0060397C" w:rsidRPr="000063E7" w:rsidRDefault="005958D2" w:rsidP="000063E7">
      <w:pPr>
        <w:widowControl/>
        <w:suppressAutoHyphens w:val="0"/>
        <w:spacing w:after="200"/>
        <w:ind w:left="283" w:right="283" w:firstLine="1"/>
        <w:jc w:val="center"/>
        <w:rPr>
          <w:color w:val="010000"/>
        </w:rPr>
      </w:pPr>
      <w:r w:rsidRPr="000063E7">
        <w:rPr>
          <w:b/>
          <w:color w:val="010000"/>
        </w:rPr>
        <w:t>BİRİNCİ BÖLÜM</w:t>
      </w:r>
    </w:p>
    <w:p w:rsidR="0060397C" w:rsidRPr="000063E7" w:rsidRDefault="005958D2" w:rsidP="000063E7">
      <w:pPr>
        <w:widowControl/>
        <w:suppressAutoHyphens w:val="0"/>
        <w:spacing w:after="200"/>
        <w:ind w:left="283" w:right="283" w:firstLine="1"/>
        <w:jc w:val="center"/>
        <w:rPr>
          <w:color w:val="010000"/>
        </w:rPr>
      </w:pPr>
      <w:r w:rsidRPr="000063E7">
        <w:rPr>
          <w:b/>
          <w:color w:val="010000"/>
        </w:rPr>
        <w:t>KARAR</w:t>
      </w:r>
    </w:p>
    <w:p w:rsidR="000063E7" w:rsidRDefault="000063E7" w:rsidP="000063E7">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0063E7" w:rsidRPr="000063E7" w:rsidTr="000063E7">
        <w:tblPrEx>
          <w:tblCellMar>
            <w:top w:w="0" w:type="dxa"/>
            <w:bottom w:w="0" w:type="dxa"/>
          </w:tblCellMar>
        </w:tblPrEx>
        <w:trPr>
          <w:trHeight w:val="454"/>
        </w:trPr>
        <w:tc>
          <w:tcPr>
            <w:tcW w:w="2400" w:type="dxa"/>
          </w:tcPr>
          <w:p w:rsidR="000063E7" w:rsidRPr="000063E7" w:rsidRDefault="000063E7" w:rsidP="000063E7">
            <w:pPr>
              <w:widowControl/>
              <w:suppressAutoHyphens w:val="0"/>
              <w:rPr>
                <w:b/>
                <w:color w:val="010000"/>
              </w:rPr>
            </w:pPr>
            <w:bookmarkStart w:id="0" w:name="_GoBack" w:colFirst="2" w:colLast="2"/>
            <w:r w:rsidRPr="000063E7">
              <w:rPr>
                <w:b/>
                <w:color w:val="010000"/>
              </w:rPr>
              <w:t>Başkan</w:t>
            </w:r>
          </w:p>
        </w:tc>
        <w:tc>
          <w:tcPr>
            <w:tcW w:w="200" w:type="dxa"/>
          </w:tcPr>
          <w:p w:rsidR="000063E7" w:rsidRPr="000063E7" w:rsidRDefault="000063E7" w:rsidP="000063E7">
            <w:pPr>
              <w:widowControl/>
              <w:suppressAutoHyphens w:val="0"/>
              <w:rPr>
                <w:b/>
                <w:color w:val="010000"/>
              </w:rPr>
            </w:pPr>
            <w:r w:rsidRPr="000063E7">
              <w:rPr>
                <w:b/>
                <w:color w:val="010000"/>
              </w:rPr>
              <w:t>:</w:t>
            </w:r>
          </w:p>
        </w:tc>
        <w:tc>
          <w:tcPr>
            <w:tcW w:w="5400" w:type="dxa"/>
          </w:tcPr>
          <w:p w:rsidR="000063E7" w:rsidRPr="000063E7" w:rsidRDefault="000063E7" w:rsidP="000063E7">
            <w:pPr>
              <w:widowControl/>
              <w:suppressAutoHyphens w:val="0"/>
              <w:rPr>
                <w:color w:val="010000"/>
              </w:rPr>
            </w:pPr>
            <w:r w:rsidRPr="000063E7">
              <w:rPr>
                <w:color w:val="010000"/>
              </w:rPr>
              <w:t>Hasan Tahsin GÖKCAN</w:t>
            </w:r>
          </w:p>
        </w:tc>
      </w:tr>
      <w:tr w:rsidR="000063E7" w:rsidRPr="000063E7" w:rsidTr="000063E7">
        <w:tblPrEx>
          <w:tblCellMar>
            <w:top w:w="0" w:type="dxa"/>
            <w:bottom w:w="0" w:type="dxa"/>
          </w:tblCellMar>
        </w:tblPrEx>
        <w:trPr>
          <w:trHeight w:val="454"/>
        </w:trPr>
        <w:tc>
          <w:tcPr>
            <w:tcW w:w="2400" w:type="dxa"/>
          </w:tcPr>
          <w:p w:rsidR="000063E7" w:rsidRPr="000063E7" w:rsidRDefault="000063E7" w:rsidP="000063E7">
            <w:pPr>
              <w:widowControl/>
              <w:suppressAutoHyphens w:val="0"/>
              <w:rPr>
                <w:b/>
                <w:color w:val="010000"/>
              </w:rPr>
            </w:pPr>
            <w:r w:rsidRPr="000063E7">
              <w:rPr>
                <w:b/>
                <w:color w:val="010000"/>
              </w:rPr>
              <w:t>Üyeler</w:t>
            </w:r>
          </w:p>
        </w:tc>
        <w:tc>
          <w:tcPr>
            <w:tcW w:w="200" w:type="dxa"/>
          </w:tcPr>
          <w:p w:rsidR="000063E7" w:rsidRPr="000063E7" w:rsidRDefault="000063E7" w:rsidP="000063E7">
            <w:pPr>
              <w:widowControl/>
              <w:suppressAutoHyphens w:val="0"/>
              <w:rPr>
                <w:b/>
                <w:color w:val="010000"/>
              </w:rPr>
            </w:pPr>
            <w:r w:rsidRPr="000063E7">
              <w:rPr>
                <w:b/>
                <w:color w:val="010000"/>
              </w:rPr>
              <w:t>:</w:t>
            </w:r>
          </w:p>
        </w:tc>
        <w:tc>
          <w:tcPr>
            <w:tcW w:w="5400" w:type="dxa"/>
          </w:tcPr>
          <w:p w:rsidR="000063E7" w:rsidRPr="000063E7" w:rsidRDefault="000063E7" w:rsidP="000063E7">
            <w:pPr>
              <w:widowControl/>
              <w:suppressAutoHyphens w:val="0"/>
              <w:rPr>
                <w:color w:val="010000"/>
              </w:rPr>
            </w:pPr>
            <w:r w:rsidRPr="000063E7">
              <w:rPr>
                <w:color w:val="010000"/>
              </w:rPr>
              <w:t>Yusuf Şevki HAKYEMEZ</w:t>
            </w:r>
          </w:p>
        </w:tc>
      </w:tr>
      <w:tr w:rsidR="000063E7" w:rsidRPr="000063E7" w:rsidTr="000063E7">
        <w:tblPrEx>
          <w:tblCellMar>
            <w:top w:w="0" w:type="dxa"/>
            <w:bottom w:w="0" w:type="dxa"/>
          </w:tblCellMar>
        </w:tblPrEx>
        <w:trPr>
          <w:trHeight w:val="454"/>
        </w:trPr>
        <w:tc>
          <w:tcPr>
            <w:tcW w:w="2400" w:type="dxa"/>
          </w:tcPr>
          <w:p w:rsidR="000063E7" w:rsidRPr="000063E7" w:rsidRDefault="000063E7" w:rsidP="000063E7">
            <w:pPr>
              <w:widowControl/>
              <w:suppressAutoHyphens w:val="0"/>
              <w:rPr>
                <w:b/>
                <w:color w:val="010000"/>
              </w:rPr>
            </w:pPr>
          </w:p>
        </w:tc>
        <w:tc>
          <w:tcPr>
            <w:tcW w:w="200" w:type="dxa"/>
          </w:tcPr>
          <w:p w:rsidR="000063E7" w:rsidRPr="000063E7" w:rsidRDefault="000063E7" w:rsidP="000063E7">
            <w:pPr>
              <w:widowControl/>
              <w:suppressAutoHyphens w:val="0"/>
              <w:rPr>
                <w:b/>
                <w:color w:val="010000"/>
              </w:rPr>
            </w:pPr>
          </w:p>
        </w:tc>
        <w:tc>
          <w:tcPr>
            <w:tcW w:w="5400" w:type="dxa"/>
          </w:tcPr>
          <w:p w:rsidR="000063E7" w:rsidRPr="000063E7" w:rsidRDefault="000063E7" w:rsidP="000063E7">
            <w:pPr>
              <w:widowControl/>
              <w:suppressAutoHyphens w:val="0"/>
              <w:rPr>
                <w:color w:val="010000"/>
              </w:rPr>
            </w:pPr>
            <w:r w:rsidRPr="000063E7">
              <w:rPr>
                <w:color w:val="010000"/>
              </w:rPr>
              <w:t>Selahaddin MENTEŞ</w:t>
            </w:r>
          </w:p>
        </w:tc>
      </w:tr>
      <w:tr w:rsidR="000063E7" w:rsidRPr="000063E7" w:rsidTr="000063E7">
        <w:tblPrEx>
          <w:tblCellMar>
            <w:top w:w="0" w:type="dxa"/>
            <w:bottom w:w="0" w:type="dxa"/>
          </w:tblCellMar>
        </w:tblPrEx>
        <w:trPr>
          <w:trHeight w:val="454"/>
        </w:trPr>
        <w:tc>
          <w:tcPr>
            <w:tcW w:w="2400" w:type="dxa"/>
          </w:tcPr>
          <w:p w:rsidR="000063E7" w:rsidRPr="000063E7" w:rsidRDefault="000063E7" w:rsidP="000063E7">
            <w:pPr>
              <w:widowControl/>
              <w:suppressAutoHyphens w:val="0"/>
              <w:rPr>
                <w:b/>
                <w:color w:val="010000"/>
              </w:rPr>
            </w:pPr>
          </w:p>
        </w:tc>
        <w:tc>
          <w:tcPr>
            <w:tcW w:w="200" w:type="dxa"/>
          </w:tcPr>
          <w:p w:rsidR="000063E7" w:rsidRPr="000063E7" w:rsidRDefault="000063E7" w:rsidP="000063E7">
            <w:pPr>
              <w:widowControl/>
              <w:suppressAutoHyphens w:val="0"/>
              <w:rPr>
                <w:b/>
                <w:color w:val="010000"/>
              </w:rPr>
            </w:pPr>
          </w:p>
        </w:tc>
        <w:tc>
          <w:tcPr>
            <w:tcW w:w="5400" w:type="dxa"/>
          </w:tcPr>
          <w:p w:rsidR="000063E7" w:rsidRPr="000063E7" w:rsidRDefault="000063E7" w:rsidP="000063E7">
            <w:pPr>
              <w:widowControl/>
              <w:suppressAutoHyphens w:val="0"/>
              <w:rPr>
                <w:color w:val="010000"/>
              </w:rPr>
            </w:pPr>
            <w:r w:rsidRPr="000063E7">
              <w:rPr>
                <w:color w:val="010000"/>
              </w:rPr>
              <w:t>İrfan FİDAN</w:t>
            </w:r>
          </w:p>
        </w:tc>
      </w:tr>
      <w:tr w:rsidR="000063E7" w:rsidRPr="000063E7" w:rsidTr="000063E7">
        <w:tblPrEx>
          <w:tblCellMar>
            <w:top w:w="0" w:type="dxa"/>
            <w:bottom w:w="0" w:type="dxa"/>
          </w:tblCellMar>
        </w:tblPrEx>
        <w:trPr>
          <w:trHeight w:val="454"/>
        </w:trPr>
        <w:tc>
          <w:tcPr>
            <w:tcW w:w="2400" w:type="dxa"/>
          </w:tcPr>
          <w:p w:rsidR="000063E7" w:rsidRPr="000063E7" w:rsidRDefault="000063E7" w:rsidP="000063E7">
            <w:pPr>
              <w:widowControl/>
              <w:suppressAutoHyphens w:val="0"/>
              <w:rPr>
                <w:b/>
                <w:color w:val="010000"/>
              </w:rPr>
            </w:pPr>
          </w:p>
        </w:tc>
        <w:tc>
          <w:tcPr>
            <w:tcW w:w="200" w:type="dxa"/>
          </w:tcPr>
          <w:p w:rsidR="000063E7" w:rsidRPr="000063E7" w:rsidRDefault="000063E7" w:rsidP="000063E7">
            <w:pPr>
              <w:widowControl/>
              <w:suppressAutoHyphens w:val="0"/>
              <w:rPr>
                <w:b/>
                <w:color w:val="010000"/>
              </w:rPr>
            </w:pPr>
          </w:p>
        </w:tc>
        <w:tc>
          <w:tcPr>
            <w:tcW w:w="5400" w:type="dxa"/>
          </w:tcPr>
          <w:p w:rsidR="000063E7" w:rsidRPr="000063E7" w:rsidRDefault="000063E7" w:rsidP="000063E7">
            <w:pPr>
              <w:widowControl/>
              <w:suppressAutoHyphens w:val="0"/>
              <w:rPr>
                <w:color w:val="010000"/>
              </w:rPr>
            </w:pPr>
            <w:r w:rsidRPr="000063E7">
              <w:rPr>
                <w:color w:val="010000"/>
              </w:rPr>
              <w:t>Muhterem İNCE</w:t>
            </w:r>
          </w:p>
        </w:tc>
      </w:tr>
      <w:tr w:rsidR="000063E7" w:rsidRPr="000063E7" w:rsidTr="000063E7">
        <w:tblPrEx>
          <w:tblCellMar>
            <w:top w:w="0" w:type="dxa"/>
            <w:bottom w:w="0" w:type="dxa"/>
          </w:tblCellMar>
        </w:tblPrEx>
        <w:trPr>
          <w:trHeight w:val="454"/>
        </w:trPr>
        <w:tc>
          <w:tcPr>
            <w:tcW w:w="2400" w:type="dxa"/>
          </w:tcPr>
          <w:p w:rsidR="000063E7" w:rsidRPr="000063E7" w:rsidRDefault="000063E7" w:rsidP="000063E7">
            <w:pPr>
              <w:widowControl/>
              <w:suppressAutoHyphens w:val="0"/>
              <w:rPr>
                <w:b/>
                <w:color w:val="010000"/>
              </w:rPr>
            </w:pPr>
            <w:r w:rsidRPr="000063E7">
              <w:rPr>
                <w:b/>
                <w:color w:val="010000"/>
              </w:rPr>
              <w:t>Raportör</w:t>
            </w:r>
          </w:p>
        </w:tc>
        <w:tc>
          <w:tcPr>
            <w:tcW w:w="200" w:type="dxa"/>
          </w:tcPr>
          <w:p w:rsidR="000063E7" w:rsidRPr="000063E7" w:rsidRDefault="000063E7" w:rsidP="000063E7">
            <w:pPr>
              <w:widowControl/>
              <w:suppressAutoHyphens w:val="0"/>
              <w:rPr>
                <w:b/>
                <w:color w:val="010000"/>
              </w:rPr>
            </w:pPr>
            <w:r w:rsidRPr="000063E7">
              <w:rPr>
                <w:b/>
                <w:color w:val="010000"/>
              </w:rPr>
              <w:t>:</w:t>
            </w:r>
          </w:p>
        </w:tc>
        <w:tc>
          <w:tcPr>
            <w:tcW w:w="5400" w:type="dxa"/>
          </w:tcPr>
          <w:p w:rsidR="000063E7" w:rsidRPr="000063E7" w:rsidRDefault="000063E7" w:rsidP="000063E7">
            <w:pPr>
              <w:widowControl/>
              <w:suppressAutoHyphens w:val="0"/>
              <w:rPr>
                <w:color w:val="010000"/>
              </w:rPr>
            </w:pPr>
            <w:r w:rsidRPr="000063E7">
              <w:rPr>
                <w:color w:val="010000"/>
              </w:rPr>
              <w:t>Berrak YILMAZ</w:t>
            </w:r>
          </w:p>
        </w:tc>
      </w:tr>
      <w:tr w:rsidR="000063E7" w:rsidRPr="000063E7" w:rsidTr="000063E7">
        <w:tblPrEx>
          <w:tblCellMar>
            <w:top w:w="0" w:type="dxa"/>
            <w:bottom w:w="0" w:type="dxa"/>
          </w:tblCellMar>
        </w:tblPrEx>
        <w:trPr>
          <w:trHeight w:val="454"/>
        </w:trPr>
        <w:tc>
          <w:tcPr>
            <w:tcW w:w="2400" w:type="dxa"/>
          </w:tcPr>
          <w:p w:rsidR="000063E7" w:rsidRPr="000063E7" w:rsidRDefault="000063E7" w:rsidP="000063E7">
            <w:pPr>
              <w:widowControl/>
              <w:suppressAutoHyphens w:val="0"/>
              <w:rPr>
                <w:b/>
                <w:color w:val="010000"/>
              </w:rPr>
            </w:pPr>
            <w:r w:rsidRPr="000063E7">
              <w:rPr>
                <w:b/>
                <w:color w:val="010000"/>
              </w:rPr>
              <w:t>Başvurucu</w:t>
            </w:r>
          </w:p>
        </w:tc>
        <w:tc>
          <w:tcPr>
            <w:tcW w:w="200" w:type="dxa"/>
          </w:tcPr>
          <w:p w:rsidR="000063E7" w:rsidRPr="000063E7" w:rsidRDefault="000063E7" w:rsidP="000063E7">
            <w:pPr>
              <w:widowControl/>
              <w:suppressAutoHyphens w:val="0"/>
              <w:rPr>
                <w:b/>
                <w:color w:val="010000"/>
              </w:rPr>
            </w:pPr>
            <w:r w:rsidRPr="000063E7">
              <w:rPr>
                <w:b/>
                <w:color w:val="010000"/>
              </w:rPr>
              <w:t>:</w:t>
            </w:r>
          </w:p>
        </w:tc>
        <w:tc>
          <w:tcPr>
            <w:tcW w:w="5400" w:type="dxa"/>
          </w:tcPr>
          <w:p w:rsidR="000063E7" w:rsidRPr="000063E7" w:rsidRDefault="000063E7" w:rsidP="000063E7">
            <w:pPr>
              <w:widowControl/>
              <w:suppressAutoHyphens w:val="0"/>
              <w:rPr>
                <w:color w:val="010000"/>
              </w:rPr>
            </w:pPr>
            <w:r w:rsidRPr="000063E7">
              <w:rPr>
                <w:color w:val="010000"/>
              </w:rPr>
              <w:t>Ramazan ERDOĞAN</w:t>
            </w:r>
          </w:p>
        </w:tc>
      </w:tr>
      <w:tr w:rsidR="000063E7" w:rsidRPr="000063E7" w:rsidTr="000063E7">
        <w:tblPrEx>
          <w:tblCellMar>
            <w:top w:w="0" w:type="dxa"/>
            <w:bottom w:w="0" w:type="dxa"/>
          </w:tblCellMar>
        </w:tblPrEx>
        <w:trPr>
          <w:trHeight w:val="454"/>
        </w:trPr>
        <w:tc>
          <w:tcPr>
            <w:tcW w:w="2400" w:type="dxa"/>
          </w:tcPr>
          <w:p w:rsidR="000063E7" w:rsidRPr="000063E7" w:rsidRDefault="000063E7" w:rsidP="000063E7">
            <w:pPr>
              <w:widowControl/>
              <w:suppressAutoHyphens w:val="0"/>
              <w:rPr>
                <w:b/>
                <w:color w:val="010000"/>
              </w:rPr>
            </w:pPr>
            <w:r w:rsidRPr="000063E7">
              <w:rPr>
                <w:b/>
                <w:color w:val="010000"/>
              </w:rPr>
              <w:t>Vekili</w:t>
            </w:r>
          </w:p>
        </w:tc>
        <w:tc>
          <w:tcPr>
            <w:tcW w:w="200" w:type="dxa"/>
          </w:tcPr>
          <w:p w:rsidR="000063E7" w:rsidRPr="000063E7" w:rsidRDefault="000063E7" w:rsidP="000063E7">
            <w:pPr>
              <w:widowControl/>
              <w:suppressAutoHyphens w:val="0"/>
              <w:rPr>
                <w:b/>
                <w:color w:val="010000"/>
              </w:rPr>
            </w:pPr>
            <w:r w:rsidRPr="000063E7">
              <w:rPr>
                <w:b/>
                <w:color w:val="010000"/>
              </w:rPr>
              <w:t>:</w:t>
            </w:r>
          </w:p>
        </w:tc>
        <w:tc>
          <w:tcPr>
            <w:tcW w:w="5400" w:type="dxa"/>
          </w:tcPr>
          <w:p w:rsidR="000063E7" w:rsidRPr="000063E7" w:rsidRDefault="000063E7" w:rsidP="000063E7">
            <w:pPr>
              <w:widowControl/>
              <w:suppressAutoHyphens w:val="0"/>
              <w:rPr>
                <w:color w:val="010000"/>
              </w:rPr>
            </w:pPr>
            <w:r w:rsidRPr="000063E7">
              <w:rPr>
                <w:color w:val="010000"/>
              </w:rPr>
              <w:t>Av. Mahsuni KARAMAN</w:t>
            </w:r>
          </w:p>
        </w:tc>
      </w:tr>
    </w:tbl>
    <w:bookmarkEnd w:id="0"/>
    <w:p w:rsidR="0060397C" w:rsidRPr="000063E7" w:rsidRDefault="005958D2" w:rsidP="000063E7">
      <w:pPr>
        <w:widowControl/>
        <w:suppressAutoHyphens w:val="0"/>
        <w:spacing w:after="200"/>
        <w:ind w:left="283" w:right="283" w:firstLine="567"/>
        <w:jc w:val="both"/>
        <w:rPr>
          <w:color w:val="010000"/>
        </w:rPr>
      </w:pPr>
      <w:r w:rsidRPr="000063E7">
        <w:rPr>
          <w:b/>
          <w:color w:val="010000"/>
        </w:rPr>
        <w:t>I.</w:t>
      </w:r>
      <w:r w:rsidR="000063E7" w:rsidRPr="000063E7">
        <w:rPr>
          <w:color w:val="010000"/>
        </w:rPr>
        <w:t xml:space="preserve"> </w:t>
      </w:r>
      <w:r w:rsidRPr="000063E7">
        <w:rPr>
          <w:b/>
          <w:color w:val="010000"/>
        </w:rPr>
        <w:t>BAŞVURUNUN ÖZETİ</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1.</w:t>
      </w:r>
      <w:r w:rsidR="000063E7" w:rsidRPr="000063E7">
        <w:rPr>
          <w:color w:val="010000"/>
        </w:rPr>
        <w:t xml:space="preserve"> </w:t>
      </w:r>
      <w:r w:rsidRPr="000063E7">
        <w:rPr>
          <w:color w:val="010000"/>
        </w:rPr>
        <w:t>Başvuru, kişisel verilerin güvenlik soruşturmasına esas alınması nedeniyle özel hayata saygı hakkı kapsamındaki kişisel verilerin korunmasını isteme hakkının ihlal edildiği iddiasına ilişkindir.</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2.</w:t>
      </w:r>
      <w:r w:rsidR="000063E7" w:rsidRPr="000063E7">
        <w:rPr>
          <w:color w:val="010000"/>
        </w:rPr>
        <w:t xml:space="preserve"> </w:t>
      </w:r>
      <w:r w:rsidRPr="000063E7">
        <w:rPr>
          <w:color w:val="010000"/>
        </w:rPr>
        <w:t>Başvurucu, Siirt Üniversitesi Sağlık Meslek Yüksekokulundan mezun olmuştur.Başvurucu 16/10/2016 tarihli Kamu Personeli Seçme Sınavı (KPSS) sonucuna göre 17/3/2017 tarihinde Siirt Pervari 3 No.lu Acil Sağlık Hizmetleri İstasyonuna sağlık teknikeri olarak yerleştirilmiştir. Yerleştirme sonuçları çerçevesinde başvurucunun güvenlik soruşturması ve arşiv araştırması yaptırılmıştır. Sağlık Bakanlığı Yönetim Hizmetleri Genel Müdürlüğünün 20/7/2017 tarihli yazısı ile başvurucuya 14/7/1965 tarihli ve 657 sayılı Devlet Memurları Kanunu'nun 48. maddesinin birinci fıkrasının (A) bendinin sekizinci alt bendinde belirtilen şartları taşımadığı gerekçesiyle yerleştiği sözleşmeli personel pozisyonuna atamasının yapılamayacağı tebliğ edilmiştir.</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3.</w:t>
      </w:r>
      <w:r w:rsidR="000063E7" w:rsidRPr="000063E7">
        <w:rPr>
          <w:color w:val="010000"/>
        </w:rPr>
        <w:t xml:space="preserve"> </w:t>
      </w:r>
      <w:r w:rsidRPr="000063E7">
        <w:rPr>
          <w:color w:val="010000"/>
        </w:rPr>
        <w:t>Başvurucu vekili 17/8/2017 tarihinde, Sağlık Bakanlığının 20/7/2017 tarihli atama işleminin yapılmamasına dair işleminin iptali istemiyle dava açmıştır. Başvurucu vekili dava dilekçesinde; güvenlik soruşturması sonucu ulaşılan ve başvurucunun devlet memuru olmasına engel teşkil eden bilgi ve verilerin açıkça ortaya konulması gerektiğini, dava konusu işlemin soyut bir kanun maddesine atıftan ibaret olduğunu, herhangi bir gerekçe içermediğini, söz konusu soyut ibarenin somut bir idari işleme esas teşkil etmesinin hukuken olanaklı olmadığını ve bu hâliyle denetlenebilir olmadığını ileri sürmüştür.</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4.</w:t>
      </w:r>
      <w:r w:rsidR="000063E7" w:rsidRPr="000063E7">
        <w:rPr>
          <w:color w:val="010000"/>
        </w:rPr>
        <w:t xml:space="preserve"> </w:t>
      </w:r>
      <w:r w:rsidRPr="000063E7">
        <w:rPr>
          <w:color w:val="010000"/>
        </w:rPr>
        <w:t>Ankara 11. İdare Mahkemesi 31/10/2018 tarihinde davayı reddetmiştir. Kararın gerekçesinde, başvurucu hakkında güvenlik soruşturması sonucunda elde edilen ve davalı idare tarafından dosyaya sunulan bilgi ve belgeler incelendiğinde, elde edilen bilgilerin başvurucunun güvenlik soruşturmasının olumsuz olarak değerlendirilmesi için yeterli olduğu ve dava konusu işlemde hukuka aykırılık bulunmadığı ifade edilmiştir.</w:t>
      </w:r>
    </w:p>
    <w:p w:rsidR="0060397C" w:rsidRPr="000063E7" w:rsidRDefault="005958D2" w:rsidP="000063E7">
      <w:pPr>
        <w:widowControl/>
        <w:suppressAutoHyphens w:val="0"/>
        <w:spacing w:after="200"/>
        <w:ind w:left="283" w:right="283" w:firstLine="567"/>
        <w:jc w:val="both"/>
        <w:rPr>
          <w:color w:val="010000"/>
        </w:rPr>
      </w:pPr>
      <w:r w:rsidRPr="000063E7">
        <w:rPr>
          <w:color w:val="010000"/>
        </w:rPr>
        <w:lastRenderedPageBreak/>
        <w:t>5.</w:t>
      </w:r>
      <w:r w:rsidR="000063E7" w:rsidRPr="000063E7">
        <w:rPr>
          <w:color w:val="010000"/>
        </w:rPr>
        <w:t xml:space="preserve"> </w:t>
      </w:r>
      <w:r w:rsidRPr="000063E7">
        <w:rPr>
          <w:color w:val="010000"/>
        </w:rPr>
        <w:t>Karara karşı yapılan istinaf başvurusu, Ankara Bölge İdare Mahkemesi 1. İdari Dava Dairesinin 20/2/2019 tarihli kararı ile kararın usul ve hukuka uygun olduğu gerekçesiyle kesin olarak reddedilmiştir.</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6.</w:t>
      </w:r>
      <w:r w:rsidR="000063E7" w:rsidRPr="000063E7">
        <w:rPr>
          <w:color w:val="010000"/>
        </w:rPr>
        <w:t xml:space="preserve"> </w:t>
      </w:r>
      <w:r w:rsidRPr="000063E7">
        <w:rPr>
          <w:color w:val="010000"/>
        </w:rPr>
        <w:t>Başvurucu, nihai hükmü 8/7/2019 tarihinde öğrendikten sonra 29/7/2019 tarihinde bireysel başvuruda bulunmuştur.</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7.</w:t>
      </w:r>
      <w:r w:rsidR="000063E7" w:rsidRPr="000063E7">
        <w:rPr>
          <w:color w:val="010000"/>
        </w:rPr>
        <w:t xml:space="preserve"> </w:t>
      </w:r>
      <w:r w:rsidRPr="000063E7">
        <w:rPr>
          <w:color w:val="010000"/>
        </w:rPr>
        <w:t>Komisyonca başvurunun kabul edilebilirlik ve esas incelemesinin Bölüm tarafından yapılmasına karar verilmiştir.</w:t>
      </w:r>
    </w:p>
    <w:p w:rsidR="0060397C" w:rsidRPr="000063E7" w:rsidRDefault="005958D2" w:rsidP="000063E7">
      <w:pPr>
        <w:widowControl/>
        <w:suppressAutoHyphens w:val="0"/>
        <w:spacing w:after="200"/>
        <w:ind w:left="283" w:right="283" w:firstLine="567"/>
        <w:jc w:val="both"/>
        <w:rPr>
          <w:color w:val="010000"/>
        </w:rPr>
      </w:pPr>
      <w:r w:rsidRPr="000063E7">
        <w:rPr>
          <w:b/>
          <w:color w:val="010000"/>
        </w:rPr>
        <w:t>II.</w:t>
      </w:r>
      <w:r w:rsidR="000063E7" w:rsidRPr="000063E7">
        <w:rPr>
          <w:color w:val="010000"/>
        </w:rPr>
        <w:t xml:space="preserve"> </w:t>
      </w:r>
      <w:r w:rsidRPr="000063E7">
        <w:rPr>
          <w:b/>
          <w:color w:val="010000"/>
        </w:rPr>
        <w:t>DEĞERLENDİRME</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8.</w:t>
      </w:r>
      <w:r w:rsidR="000063E7" w:rsidRPr="000063E7">
        <w:rPr>
          <w:color w:val="010000"/>
        </w:rPr>
        <w:t xml:space="preserve"> </w:t>
      </w:r>
      <w:r w:rsidRPr="000063E7">
        <w:rPr>
          <w:color w:val="010000"/>
        </w:rPr>
        <w:t>7/4/2021 tarihli ve 7315 sayılı Güvenlik Soruşturması ve Arşiv Araştırması Kanunu 17/4/2021 tarihli ve 31457 Resmi Gazete'de yayımlanarak yürürlüğe girmiş ve 26/10/1994 tarihli ve 4045 sayılı Güvenlik Soruşturması, Bazı Nedenlerle Görevlerine Son Verilen Kamu Personeli ile Kamu Görevine Alınmayanların Haklarının Geri Verilmesine ve 1402 Numaralı Sıkıyönetim Kanununda Değişiklik Yapılmasına İlişkin Kanun'u yürürlükten kaldırmıştır. 7315 sayılı Kanun'un yürürlüğe girdiği tarihten itibaren kişilerin güvenlik soruşturması ve arşiv araştırması bu Kanun kapsamında yapılmaktadır.</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9.</w:t>
      </w:r>
      <w:r w:rsidR="000063E7" w:rsidRPr="000063E7">
        <w:rPr>
          <w:color w:val="010000"/>
        </w:rPr>
        <w:t xml:space="preserve"> </w:t>
      </w:r>
      <w:r w:rsidRPr="000063E7">
        <w:rPr>
          <w:color w:val="010000"/>
        </w:rPr>
        <w:t>Başvurucu; hangi kıstasların esas alındığı ve nasıl yapıldığı belli olmayan bir güvenlik soruşturmasına dayanılarak kamu hizmetine girmesine engel olunduğunu, soyut istihbari bilgilere dayanılarak mesleğinden edildiğini belirterek adil yargılanma hakkı ve çalışma hakkının ihlal edildiğini ileri sürmüştür.</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10.</w:t>
      </w:r>
      <w:r w:rsidR="000063E7" w:rsidRPr="000063E7">
        <w:rPr>
          <w:color w:val="010000"/>
        </w:rPr>
        <w:t xml:space="preserve"> </w:t>
      </w:r>
      <w:r w:rsidRPr="000063E7">
        <w:rPr>
          <w:color w:val="010000"/>
        </w:rPr>
        <w:t>Bakanlık görüşünde; mevcut başvuruda başvurucunun özel ve aile hayatına saygı hakkının ihlal edilip edilmediği konusunda inceleme yapılırken Anayasa ve ilgili mevzuat hükümleri, Anayasa Mahkemesi içtihadı ve somut olayın kendine özgü koşullarının da dikkate alınması gerektiği ifade edilmiştir. Başvurucu, Bakanlık görüşüne karşı önceki beyanlarını tekrar etmiştir.</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11.</w:t>
      </w:r>
      <w:r w:rsidR="000063E7" w:rsidRPr="000063E7">
        <w:rPr>
          <w:color w:val="010000"/>
        </w:rPr>
        <w:t xml:space="preserve"> </w:t>
      </w:r>
      <w:r w:rsidRPr="000063E7">
        <w:rPr>
          <w:color w:val="010000"/>
        </w:rPr>
        <w:t>Başvuru, özel hayata saygı hakkı kapsamındaki kişisel verilerin korunmasını isteme hakkı kapsamında incelenmiştir.</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12.</w:t>
      </w:r>
      <w:r w:rsidR="000063E7" w:rsidRPr="000063E7">
        <w:rPr>
          <w:color w:val="010000"/>
        </w:rPr>
        <w:t xml:space="preserve"> </w:t>
      </w:r>
      <w:r w:rsidRPr="000063E7">
        <w:rPr>
          <w:color w:val="010000"/>
        </w:rPr>
        <w:t>Açıkça dayanaktan yoksun olmadığı ve kabul edilemezliğine karar verilmesini gerektirecek başka bir neden de bulunmadığı anlaşılan başvurunun özel hayata saygı hakkı kapsamındaki kişisel verilerin korunmasını isteme hakkının ihlal edildiğine ilişkin iddianın kabul edilebilir olduğuna karar verilmesi gerekir.</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13.</w:t>
      </w:r>
      <w:r w:rsidR="000063E7" w:rsidRPr="000063E7">
        <w:rPr>
          <w:color w:val="010000"/>
        </w:rPr>
        <w:t xml:space="preserve"> </w:t>
      </w:r>
      <w:r w:rsidRPr="000063E7">
        <w:rPr>
          <w:color w:val="010000"/>
        </w:rPr>
        <w:t xml:space="preserve">Anayasa Mahkemesi mevcut güvenlik soruşturması ve arşiv araştırması yönteminin kanunilik koşulunu sağlamadığını </w:t>
      </w:r>
      <w:r w:rsidRPr="000063E7">
        <w:rPr>
          <w:i/>
          <w:iCs/>
          <w:color w:val="010000"/>
        </w:rPr>
        <w:t>Fatih Saraman</w:t>
      </w:r>
      <w:r w:rsidRPr="000063E7">
        <w:rPr>
          <w:color w:val="010000"/>
        </w:rPr>
        <w:t xml:space="preserve"> kararında kabul etmiştir. Kararda 4045 sayılı Kanun'un sadece hangi kamu görevleri bakımından güvenlik soruşturması yaptırılacağını düzenlediğini ancak konuyla ilgili temel esasları, ilkeleri ve çerçeveyi belirlemediği belirtilmiş; Kanun'un ve ilgili Yönetmelik'in kişisel verilerin kayıt, muhafaza ve kullanımını içeren tedbirlerin kapsamını, uygulanmasını düzenleyen ve özellikle, süre, stoklama, kullanım, üçüncü kişilerin erişimi, verilerin gizliliği, bütünlüğü ve imhası konusundaki usullere ilişkin, muhataplarının yetki aşımı ve keyfîliğe karşı yeteri kadar güvenceye sahip olmalarını sağlayacak açık ve detaylı kuralları içermemesi nedeniyle kanunilik şartını sağlamadığı sonucuna varılmıştır (</w:t>
      </w:r>
      <w:r w:rsidRPr="000063E7">
        <w:rPr>
          <w:i/>
          <w:iCs/>
          <w:color w:val="010000"/>
        </w:rPr>
        <w:t>Fatih Saraman</w:t>
      </w:r>
      <w:r w:rsidRPr="000063E7">
        <w:rPr>
          <w:color w:val="010000"/>
        </w:rPr>
        <w:t>, [GK], B. No: 2014/7256, 27/2/2019, §§ 88-90;</w:t>
      </w:r>
      <w:r w:rsidRPr="000063E7">
        <w:rPr>
          <w:i/>
          <w:iCs/>
          <w:color w:val="010000"/>
        </w:rPr>
        <w:t xml:space="preserve"> Süleyman Akif Nazlıgül,</w:t>
      </w:r>
      <w:r w:rsidRPr="000063E7">
        <w:rPr>
          <w:color w:val="010000"/>
        </w:rPr>
        <w:t xml:space="preserve"> B. No: 2018/31982, 15/6/2021</w:t>
      </w:r>
      <w:r w:rsidRPr="000063E7">
        <w:rPr>
          <w:i/>
          <w:iCs/>
          <w:color w:val="010000"/>
        </w:rPr>
        <w:t xml:space="preserve">, </w:t>
      </w:r>
      <w:r w:rsidRPr="000063E7">
        <w:rPr>
          <w:color w:val="010000"/>
        </w:rPr>
        <w:t>§ 33).</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14.</w:t>
      </w:r>
      <w:r w:rsidR="000063E7" w:rsidRPr="000063E7">
        <w:rPr>
          <w:color w:val="010000"/>
        </w:rPr>
        <w:t xml:space="preserve"> </w:t>
      </w:r>
      <w:r w:rsidRPr="000063E7">
        <w:rPr>
          <w:color w:val="010000"/>
        </w:rPr>
        <w:t xml:space="preserve">Öte yandan 1/2/2018 tarihli ve 7070 sayılı Olağanüstü Hal Kapsamında Bazı Düzenlemeler Yapılması Hakkında Kanun Hükmünde Kararnamenin Değiştirilerek </w:t>
      </w:r>
      <w:r w:rsidRPr="000063E7">
        <w:rPr>
          <w:color w:val="010000"/>
        </w:rPr>
        <w:lastRenderedPageBreak/>
        <w:t>Kabul Edilmesine Dair Kanun'un 60. maddesi ile 657 sayılı Kanun’un 48. maddesinin birinci fıkrasının (A) bendine eklenen (8) numaralı alt bendin iptali istemiyle 114 milletvekili tarafından 3/5/2018 tarihinde Anayasa Mahkemesinde dava açılmıştır. Anayasa Mahkemesi 24/7/2019 tarihli ve E.2018/73, K.2019/65 sayılı kararıyla başvuruya konu olayda uygulanan kuralı, Anayasa’nın 13., 20. ve 128. maddelerine aykırı görerek iptal etmiştir. Kararın gerekçesinde; güvenlik soruşturması ve arşiv araştırmasıyla elde edilen verilerin kişisel veri niteliğinde olduğu, bu alanda düzenleme getiren kuralların kamu makamlarına hangi koşullarda ve hangi sınırlar içinde tedbirler uygulama ve özel hayatın gizliliğine yönelik müdahalelerde bulunma yetkisi verildiğini yeterince açık olarak göstermesi ve olası kötüye kullanmalara karşı yeterli güvenceleri sağlanması gerektiği, kuralda ise güvenlik soruşturması ve/veya arşiv araştırması yapılması memurluğa alımlarda genel şartlar arasında sayılmasına karşın güvenlik soruşturmasına ve arşiv araştırmasına konu edilecek bilgi ve belgelerin neler olduğuna, bu bilgilerin ne şekilde kullanılacağına, hangi mercilerin soruşturma ve araştırmayı yapacağına ilişkin herhangi bir düzenleme yapılmadığı belirtilmiştir. Anayasa Mahkemesi</w:t>
      </w:r>
      <w:r w:rsidRPr="000063E7">
        <w:rPr>
          <w:i/>
          <w:iCs/>
          <w:color w:val="010000"/>
        </w:rPr>
        <w:t xml:space="preserve"> Fatih Saraman</w:t>
      </w:r>
      <w:r w:rsidRPr="000063E7">
        <w:rPr>
          <w:color w:val="010000"/>
        </w:rPr>
        <w:t xml:space="preserve"> kararında benimsediği bu yaklaşımı norm denetiminde verdiği iptal kararıyla da sürdürmüştür (</w:t>
      </w:r>
      <w:r w:rsidRPr="000063E7">
        <w:rPr>
          <w:i/>
          <w:iCs/>
          <w:color w:val="010000"/>
        </w:rPr>
        <w:t xml:space="preserve">Süleyman Akif Nazlıgül, </w:t>
      </w:r>
      <w:r w:rsidRPr="000063E7">
        <w:rPr>
          <w:color w:val="010000"/>
        </w:rPr>
        <w:t>§ 34).</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15.</w:t>
      </w:r>
      <w:r w:rsidR="000063E7" w:rsidRPr="000063E7">
        <w:rPr>
          <w:color w:val="010000"/>
        </w:rPr>
        <w:t xml:space="preserve"> </w:t>
      </w:r>
      <w:r w:rsidRPr="000063E7">
        <w:rPr>
          <w:color w:val="010000"/>
        </w:rPr>
        <w:t>Somut olayda da anılan ilkelerden ayrılmayı gerektirir bir durum bulunmamaktadır. Sonuç olarak başvuruya konu müdahalenin kanunilik şartını sağlamadığı anlaşıldığından söz konusu müdahale açısından diğer güvence ölçütlerine riayet edilip edilmediğinin ayrıca değerlendirilmesine gerek görülmemiştir.</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16.</w:t>
      </w:r>
      <w:r w:rsidR="000063E7" w:rsidRPr="000063E7">
        <w:rPr>
          <w:color w:val="010000"/>
        </w:rPr>
        <w:t xml:space="preserve"> </w:t>
      </w:r>
      <w:r w:rsidRPr="000063E7">
        <w:rPr>
          <w:color w:val="010000"/>
        </w:rPr>
        <w:t>Açıklanan gerekçelerle başvurucunun Anayasa’nın 20. maddesinde güvence altına alınan özel hayata saygı hakkı kapsamındaki kişisel verilerin korunmasını isteme hakkı ihlal edildiğine karar verilmesi gerekir.</w:t>
      </w:r>
    </w:p>
    <w:p w:rsidR="0060397C" w:rsidRPr="000063E7" w:rsidRDefault="005958D2" w:rsidP="000063E7">
      <w:pPr>
        <w:widowControl/>
        <w:suppressAutoHyphens w:val="0"/>
        <w:spacing w:after="200"/>
        <w:ind w:left="283" w:right="283" w:firstLine="567"/>
        <w:jc w:val="both"/>
        <w:rPr>
          <w:color w:val="010000"/>
        </w:rPr>
      </w:pPr>
      <w:r w:rsidRPr="000063E7">
        <w:rPr>
          <w:b/>
          <w:color w:val="010000"/>
        </w:rPr>
        <w:t>III.</w:t>
      </w:r>
      <w:r w:rsidR="000063E7" w:rsidRPr="000063E7">
        <w:rPr>
          <w:color w:val="010000"/>
        </w:rPr>
        <w:t xml:space="preserve"> </w:t>
      </w:r>
      <w:r w:rsidRPr="000063E7">
        <w:rPr>
          <w:b/>
          <w:color w:val="010000"/>
        </w:rPr>
        <w:t>GİDERİM</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17.</w:t>
      </w:r>
      <w:r w:rsidR="000063E7" w:rsidRPr="000063E7">
        <w:rPr>
          <w:color w:val="010000"/>
        </w:rPr>
        <w:t xml:space="preserve"> </w:t>
      </w:r>
      <w:r w:rsidRPr="000063E7">
        <w:rPr>
          <w:color w:val="010000"/>
        </w:rPr>
        <w:t>Başvurucu; ihlalin tespit edilmesi, yargılamanın yenilenmesi ile maddi ve manevi tazminat talebinde bulunmuştur.</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18.</w:t>
      </w:r>
      <w:r w:rsidR="000063E7" w:rsidRPr="000063E7">
        <w:rPr>
          <w:color w:val="010000"/>
        </w:rPr>
        <w:t xml:space="preserve"> </w:t>
      </w:r>
      <w:r w:rsidRPr="000063E7">
        <w:rPr>
          <w:color w:val="010000"/>
        </w:rPr>
        <w:t>Başvuruda tespit edilen hak ihlalinin sonuçlarının ortadan kaldırılması için yeniden yargılama</w:t>
      </w:r>
      <w:r w:rsidRPr="000063E7">
        <w:rPr>
          <w:b/>
          <w:i/>
          <w:iCs/>
          <w:color w:val="010000"/>
        </w:rPr>
        <w:t xml:space="preserve"> </w:t>
      </w:r>
      <w:r w:rsidRPr="000063E7">
        <w:rPr>
          <w:color w:val="010000"/>
        </w:rPr>
        <w:t>yapılmasında hukuki yarar bulunmaktadır. Bu kapsamda kararın gönderildiği yargı</w:t>
      </w:r>
      <w:r w:rsidRPr="000063E7">
        <w:rPr>
          <w:b/>
          <w:i/>
          <w:iCs/>
          <w:color w:val="010000"/>
        </w:rPr>
        <w:t xml:space="preserve"> </w:t>
      </w:r>
      <w:r w:rsidRPr="000063E7">
        <w:rPr>
          <w:color w:val="010000"/>
        </w:rPr>
        <w:t>mercilerince yapılması gereken iş, yeniden yargılama</w:t>
      </w:r>
      <w:r w:rsidRPr="000063E7">
        <w:rPr>
          <w:i/>
          <w:iCs/>
          <w:color w:val="010000"/>
        </w:rPr>
        <w:t xml:space="preserve"> </w:t>
      </w:r>
      <w:r w:rsidRPr="000063E7">
        <w:rPr>
          <w:color w:val="010000"/>
        </w:rPr>
        <w:t xml:space="preserve">işlemlerini başlatmak ve Anayasa Mahkemesini ihlal sonucuna ulaştıran nedenleri gideren, ihlal kararında belirtilen ilkelere uygun yeni bir karar vermektir (30/3/2011 tarihli ve 6216 sayılı Anayasa Mahkemesinin Kuruluşu ve Yargılama Usulleri Hakkında Kanun’un 50. maddesinin (2) numaralı fıkrasında düzenlenen bireysel başvuruya özgü yeniden yargılama kurumunun özelliklerine ilişkin kapsamlı açıklamalar için bkz. </w:t>
      </w:r>
      <w:r w:rsidRPr="000063E7">
        <w:rPr>
          <w:i/>
          <w:iCs/>
          <w:color w:val="010000"/>
        </w:rPr>
        <w:t>Mehmet Doğan</w:t>
      </w:r>
      <w:r w:rsidRPr="000063E7">
        <w:rPr>
          <w:color w:val="010000"/>
        </w:rPr>
        <w:t xml:space="preserve"> [GK], B. No: 2014/8875, 7/6/2018, §§ 54-60; </w:t>
      </w:r>
      <w:r w:rsidRPr="000063E7">
        <w:rPr>
          <w:i/>
          <w:iCs/>
          <w:color w:val="010000"/>
        </w:rPr>
        <w:t>Aligül Alkaya ve diğerleri (2)</w:t>
      </w:r>
      <w:r w:rsidRPr="000063E7">
        <w:rPr>
          <w:color w:val="010000"/>
        </w:rPr>
        <w:t xml:space="preserve">, B. No: 2016/12506, 7/11/2019, §§ 53-60, 66; </w:t>
      </w:r>
      <w:r w:rsidRPr="000063E7">
        <w:rPr>
          <w:i/>
          <w:iCs/>
          <w:color w:val="010000"/>
        </w:rPr>
        <w:t xml:space="preserve">Kadri Enis Berberoğlu (3) </w:t>
      </w:r>
      <w:r w:rsidRPr="000063E7">
        <w:rPr>
          <w:color w:val="010000"/>
        </w:rPr>
        <w:t>[GK], B. No: 2020/32949, 21/1/2021, §§ 93-100).</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19.</w:t>
      </w:r>
      <w:r w:rsidR="000063E7" w:rsidRPr="000063E7">
        <w:rPr>
          <w:color w:val="010000"/>
        </w:rPr>
        <w:t xml:space="preserve"> </w:t>
      </w:r>
      <w:r w:rsidRPr="000063E7">
        <w:rPr>
          <w:color w:val="010000"/>
        </w:rPr>
        <w:t>Yeniden yargılama yapılmak üzere dosyanın yetkili yargı merciine gönderilmesine karar verilmesinin ihlal iddiası açısından yeterli bir giderim sağladığı anlaşıldığından başvurucunun tazminat talebinin reddine karar verilmesi gerekir.</w:t>
      </w:r>
    </w:p>
    <w:p w:rsidR="0060397C" w:rsidRPr="000063E7" w:rsidRDefault="005958D2" w:rsidP="000063E7">
      <w:pPr>
        <w:widowControl/>
        <w:suppressAutoHyphens w:val="0"/>
        <w:spacing w:after="200"/>
        <w:ind w:left="283" w:right="283" w:firstLine="567"/>
        <w:jc w:val="both"/>
        <w:rPr>
          <w:color w:val="010000"/>
        </w:rPr>
      </w:pPr>
      <w:r w:rsidRPr="000063E7">
        <w:rPr>
          <w:b/>
          <w:color w:val="010000"/>
        </w:rPr>
        <w:t>IV.</w:t>
      </w:r>
      <w:r w:rsidR="000063E7" w:rsidRPr="000063E7">
        <w:rPr>
          <w:color w:val="010000"/>
        </w:rPr>
        <w:t xml:space="preserve"> </w:t>
      </w:r>
      <w:r w:rsidRPr="000063E7">
        <w:rPr>
          <w:b/>
          <w:color w:val="010000"/>
        </w:rPr>
        <w:t>HÜKÜM</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Açıklanan gerekçelerle;</w:t>
      </w:r>
    </w:p>
    <w:p w:rsidR="0060397C" w:rsidRPr="000063E7" w:rsidRDefault="005958D2" w:rsidP="000063E7">
      <w:pPr>
        <w:widowControl/>
        <w:suppressAutoHyphens w:val="0"/>
        <w:spacing w:after="200"/>
        <w:ind w:left="283" w:right="283" w:firstLine="567"/>
        <w:jc w:val="both"/>
        <w:rPr>
          <w:color w:val="010000"/>
        </w:rPr>
      </w:pPr>
      <w:r w:rsidRPr="000063E7">
        <w:rPr>
          <w:color w:val="010000"/>
        </w:rPr>
        <w:lastRenderedPageBreak/>
        <w:t>A.</w:t>
      </w:r>
      <w:r w:rsidR="000063E7" w:rsidRPr="000063E7">
        <w:rPr>
          <w:color w:val="010000"/>
        </w:rPr>
        <w:t xml:space="preserve"> </w:t>
      </w:r>
      <w:r w:rsidRPr="000063E7">
        <w:rPr>
          <w:color w:val="010000"/>
        </w:rPr>
        <w:t>Özel hayata saygı hakkı kapsamındaki kişisel verilerin korunması hakkının ihlal edildiğine ilişkin iddianın KABUL EDİLEBİLİR OLDUĞUNA,</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B.</w:t>
      </w:r>
      <w:r w:rsidR="000063E7" w:rsidRPr="000063E7">
        <w:rPr>
          <w:color w:val="010000"/>
        </w:rPr>
        <w:t xml:space="preserve"> </w:t>
      </w:r>
      <w:r w:rsidRPr="000063E7">
        <w:rPr>
          <w:color w:val="010000"/>
        </w:rPr>
        <w:t>Anayasa’nın 20. maddesinde güvence altına alınan özel hayata saygı hakkı kapsamındaki kişisel verilerin korunması hakkının İHLAL EDİLDİĞİNE,</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C.</w:t>
      </w:r>
      <w:r w:rsidR="000063E7" w:rsidRPr="000063E7">
        <w:rPr>
          <w:color w:val="010000"/>
        </w:rPr>
        <w:t xml:space="preserve"> </w:t>
      </w:r>
      <w:r w:rsidRPr="000063E7">
        <w:rPr>
          <w:color w:val="010000"/>
        </w:rPr>
        <w:t>Kararın bir örneğinin özel hayata saygı hakkı kapsamındaki kişisel verilerin korunması hakkının ihlalinin sonuçlarının ortadan kaldırılması için yeniden yargılama yapılmak üzere Ankara 11. İdare Mahkemesine (E.2017/2516, K.2018/2052) GÖNDERİLMESİNE,</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D.</w:t>
      </w:r>
      <w:r w:rsidR="000063E7" w:rsidRPr="000063E7">
        <w:rPr>
          <w:color w:val="010000"/>
        </w:rPr>
        <w:t xml:space="preserve"> </w:t>
      </w:r>
      <w:r w:rsidRPr="000063E7">
        <w:rPr>
          <w:color w:val="010000"/>
        </w:rPr>
        <w:t>Başvurucunun tazminat talebinin REDDİNE,</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E.</w:t>
      </w:r>
      <w:r w:rsidR="000063E7" w:rsidRPr="000063E7">
        <w:rPr>
          <w:color w:val="010000"/>
        </w:rPr>
        <w:t xml:space="preserve"> </w:t>
      </w:r>
      <w:r w:rsidRPr="000063E7">
        <w:rPr>
          <w:color w:val="010000"/>
        </w:rPr>
        <w:t>364,60 TL harç ve 9.900 TL vekâlet ücretinden oluşan toplam 10.264,60 TL yargılama giderinin başvurucuya ÖDENMESİNE,</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F.</w:t>
      </w:r>
      <w:r w:rsidR="000063E7" w:rsidRPr="000063E7">
        <w:rPr>
          <w:color w:val="010000"/>
        </w:rPr>
        <w:t xml:space="preserve"> </w:t>
      </w:r>
      <w:r w:rsidRPr="000063E7">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G.</w:t>
      </w:r>
      <w:r w:rsidR="000063E7" w:rsidRPr="000063E7">
        <w:rPr>
          <w:color w:val="010000"/>
        </w:rPr>
        <w:t xml:space="preserve"> </w:t>
      </w:r>
      <w:r w:rsidRPr="000063E7">
        <w:rPr>
          <w:color w:val="010000"/>
        </w:rPr>
        <w:t>Kararın bir örneğinin bilgi için Ankara Bölge İdare Mahkemesi 1. İdari Dava Dairesine (2019/317, K.2019/210) GÖNDERİLMESİNE,</w:t>
      </w:r>
    </w:p>
    <w:p w:rsidR="0060397C" w:rsidRPr="000063E7" w:rsidRDefault="005958D2" w:rsidP="000063E7">
      <w:pPr>
        <w:widowControl/>
        <w:suppressAutoHyphens w:val="0"/>
        <w:spacing w:after="200"/>
        <w:ind w:left="283" w:right="283" w:firstLine="567"/>
        <w:jc w:val="both"/>
        <w:rPr>
          <w:color w:val="010000"/>
        </w:rPr>
      </w:pPr>
      <w:r w:rsidRPr="000063E7">
        <w:rPr>
          <w:color w:val="010000"/>
        </w:rPr>
        <w:t>H.</w:t>
      </w:r>
      <w:r w:rsidR="000063E7" w:rsidRPr="000063E7">
        <w:rPr>
          <w:color w:val="010000"/>
        </w:rPr>
        <w:t xml:space="preserve"> </w:t>
      </w:r>
      <w:r w:rsidRPr="000063E7">
        <w:rPr>
          <w:color w:val="010000"/>
        </w:rPr>
        <w:t>Kararın bir örneğinin Adalet Bakanlığına GÖNDERİLMESİNE 12/1/2023 tarihinde OYBİRLİĞİYLEkarar verildi.</w:t>
      </w:r>
    </w:p>
    <w:sectPr w:rsidR="0060397C" w:rsidRPr="000063E7" w:rsidSect="000063E7">
      <w:pgSz w:w="11906" w:h="16838"/>
      <w:pgMar w:top="976" w:right="1417" w:bottom="1400" w:left="1417" w:header="400" w:footer="708"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958D2" w:rsidRDefault="005958D2">
      <w:r>
        <w:separator/>
      </w:r>
    </w:p>
  </w:endnote>
  <w:endnote w:type="continuationSeparator" w:id="0">
    <w:p w:rsidR="005958D2" w:rsidRDefault="005958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958D2" w:rsidRDefault="005958D2">
      <w:r>
        <w:separator/>
      </w:r>
    </w:p>
  </w:footnote>
  <w:footnote w:type="continuationSeparator" w:id="0">
    <w:p w:rsidR="005958D2" w:rsidRDefault="005958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397C" w:rsidRDefault="005958D2">
    <w:pPr>
      <w:pStyle w:val="stBilgi"/>
      <w:tabs>
        <w:tab w:val="left" w:pos="2020"/>
      </w:tabs>
      <w:spacing w:line="288" w:lineRule="exact"/>
    </w:pPr>
    <w:r>
      <w:t>Başvuru Numarası</w:t>
    </w:r>
    <w:r>
      <w:tab/>
      <w:t>: 2019/26356</w:t>
    </w:r>
  </w:p>
  <w:p w:rsidR="0060397C" w:rsidRDefault="005958D2" w:rsidP="000063E7">
    <w:pPr>
      <w:pStyle w:val="stBilgi"/>
      <w:tabs>
        <w:tab w:val="left" w:pos="2020"/>
      </w:tabs>
      <w:spacing w:line="288" w:lineRule="exact"/>
    </w:pPr>
    <w:r>
      <w:t>Karar Tarihi</w:t>
    </w:r>
    <w:r>
      <w:tab/>
      <w:t xml:space="preserve">: 12/1/2023 </w:t>
    </w:r>
  </w:p>
  <w:p w:rsidR="000063E7" w:rsidRDefault="000063E7" w:rsidP="000063E7">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3972"/>
    <w:rsid w:val="000063E7"/>
    <w:rsid w:val="00143972"/>
    <w:rsid w:val="005958D2"/>
    <w:rsid w:val="0060397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50D7BDAF"/>
  <w15:chartTrackingRefBased/>
  <w15:docId w15:val="{EFEC0FB0-6519-4F80-AD2A-EB8DBDE3F5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593594297348">
    <w:name w:val="edf_1593594297348"/>
    <w:pPr>
      <w:widowControl w:val="0"/>
      <w:suppressAutoHyphens/>
    </w:pPr>
    <w:rPr>
      <w:rFonts w:eastAsia="Andale Sans UI" w:cs="Tahoma"/>
      <w:kern w:val="1"/>
      <w:sz w:val="24"/>
      <w:szCs w:val="24"/>
      <w:lang w:eastAsia="fa-IR" w:bidi="fa-IR"/>
    </w:rPr>
  </w:style>
  <w:style w:type="paragraph" w:customStyle="1" w:styleId="edf1349962966121">
    <w:name w:val="edf_1349962966121"/>
    <w:pPr>
      <w:widowControl w:val="0"/>
      <w:suppressAutoHyphens/>
    </w:pPr>
    <w:rPr>
      <w:rFonts w:eastAsia="Andale Sans UI" w:cs="Tahoma"/>
      <w:kern w:val="1"/>
      <w:sz w:val="24"/>
      <w:szCs w:val="24"/>
      <w:lang w:eastAsia="fa-IR" w:bidi="fa-IR"/>
    </w:rPr>
  </w:style>
  <w:style w:type="paragraph" w:customStyle="1" w:styleId="edf1449652110386">
    <w:name w:val="edf_1449652110386"/>
    <w:pPr>
      <w:widowControl w:val="0"/>
      <w:suppressAutoHyphens/>
    </w:pPr>
    <w:rPr>
      <w:rFonts w:eastAsia="Andale Sans UI" w:cs="Tahoma"/>
      <w:kern w:val="1"/>
      <w:sz w:val="24"/>
      <w:szCs w:val="24"/>
      <w:lang w:eastAsia="fa-IR" w:bidi="fa-IR"/>
    </w:rPr>
  </w:style>
  <w:style w:type="paragraph" w:customStyle="1" w:styleId="edf1449437192616">
    <w:name w:val="edf_1449437192616"/>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511959760111">
    <w:name w:val="edf_1511959760111"/>
    <w:pPr>
      <w:widowControl w:val="0"/>
      <w:suppressAutoHyphens/>
    </w:pPr>
    <w:rPr>
      <w:rFonts w:eastAsia="Andale Sans UI" w:cs="Tahoma"/>
      <w:kern w:val="1"/>
      <w:sz w:val="24"/>
      <w:szCs w:val="24"/>
      <w:lang w:eastAsia="fa-IR" w:bidi="fa-IR"/>
    </w:rPr>
  </w:style>
  <w:style w:type="paragraph" w:customStyle="1" w:styleId="edf1391432591463">
    <w:name w:val="edf_1391432591463"/>
    <w:pPr>
      <w:widowControl w:val="0"/>
      <w:suppressAutoHyphens/>
    </w:pPr>
    <w:rPr>
      <w:rFonts w:eastAsia="Andale Sans UI" w:cs="Tahoma"/>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391432591385">
    <w:name w:val="edf_1391432591385"/>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513778258279">
    <w:name w:val="edf_1513778258279"/>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basedOn w:val="Normal"/>
    <w:link w:val="AltBilgiChar"/>
    <w:uiPriority w:val="99"/>
    <w:unhideWhenUsed/>
    <w:rsid w:val="000063E7"/>
    <w:pPr>
      <w:tabs>
        <w:tab w:val="center" w:pos="4536"/>
        <w:tab w:val="right" w:pos="9072"/>
      </w:tabs>
    </w:pPr>
  </w:style>
  <w:style w:type="character" w:customStyle="1" w:styleId="AltBilgiChar">
    <w:name w:val="Alt Bilgi Char"/>
    <w:basedOn w:val="VarsaylanParagrafYazTipi"/>
    <w:link w:val="AltBilgi"/>
    <w:uiPriority w:val="99"/>
    <w:rsid w:val="000063E7"/>
    <w:rPr>
      <w:rFonts w:eastAsia="Andale Sans UI"/>
      <w:kern w:val="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1492</Words>
  <Characters>8505</Characters>
  <Application>Microsoft Office Word</Application>
  <DocSecurity>0</DocSecurity>
  <Lines>70</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Emre EKER</dc:creator>
  <cp:keywords/>
  <cp:lastModifiedBy>Sibel YÖNDEM</cp:lastModifiedBy>
  <cp:revision>3</cp:revision>
  <cp:lastPrinted>1899-12-31T21:00:00Z</cp:lastPrinted>
  <dcterms:created xsi:type="dcterms:W3CDTF">2023-02-27T06:54:00Z</dcterms:created>
  <dcterms:modified xsi:type="dcterms:W3CDTF">2023-03-08T05:49:00Z</dcterms:modified>
</cp:coreProperties>
</file>