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5F2E60" w:rsidRDefault="005F2E60" w:rsidP="005F2E60">
      <w:pPr>
        <w:widowControl/>
        <w:suppressAutoHyphens w:val="0"/>
        <w:spacing w:after="200"/>
        <w:ind w:left="283" w:right="283" w:firstLine="567"/>
        <w:jc w:val="both"/>
        <w:rPr>
          <w:b/>
          <w:color w:val="010000"/>
          <w:sz w:val="28"/>
        </w:rPr>
      </w:pPr>
    </w:p>
    <w:p w:rsidR="005F2E60" w:rsidRDefault="005F2E60" w:rsidP="005F2E60">
      <w:pPr>
        <w:widowControl/>
        <w:suppressAutoHyphens w:val="0"/>
        <w:spacing w:after="200"/>
        <w:ind w:left="283" w:right="283" w:firstLine="567"/>
        <w:jc w:val="both"/>
        <w:rPr>
          <w:b/>
          <w:color w:val="010000"/>
          <w:sz w:val="28"/>
        </w:rPr>
      </w:pPr>
    </w:p>
    <w:p w:rsidR="005F2E60" w:rsidRDefault="005F2E60" w:rsidP="005F2E60">
      <w:pPr>
        <w:widowControl/>
        <w:suppressAutoHyphens w:val="0"/>
        <w:spacing w:after="200"/>
        <w:ind w:left="283" w:right="283" w:firstLine="567"/>
        <w:jc w:val="both"/>
        <w:rPr>
          <w:b/>
          <w:color w:val="010000"/>
          <w:sz w:val="28"/>
        </w:rPr>
      </w:pPr>
    </w:p>
    <w:p w:rsidR="005F2E60" w:rsidRDefault="005F2E60" w:rsidP="005F2E60">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sz w:val="28"/>
              </w:rPr>
            </w:pPr>
            <w:r>
              <w:rPr>
                <w:b/>
                <w:color w:val="010000"/>
                <w:sz w:val="28"/>
              </w:rPr>
              <w:t>TÜRKİYE CUMHURİYETİ</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sz w:val="32"/>
              </w:rPr>
            </w:pPr>
            <w:r>
              <w:rPr>
                <w:b/>
                <w:color w:val="010000"/>
                <w:sz w:val="32"/>
              </w:rPr>
              <w:t>ANAYASA MAHKEMESİ</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r>
              <w:rPr>
                <w:b/>
                <w:color w:val="010000"/>
              </w:rPr>
              <w:t>BİRİNCİ BÖLÜM</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r>
              <w:rPr>
                <w:b/>
                <w:color w:val="010000"/>
              </w:rPr>
              <w:t>KARAR</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r>
              <w:rPr>
                <w:b/>
                <w:color w:val="010000"/>
              </w:rPr>
              <w:t>HÜSEYİN SOYDAŞ BAŞVURUSU</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color w:val="010000"/>
              </w:rPr>
            </w:pPr>
            <w:r>
              <w:rPr>
                <w:color w:val="010000"/>
              </w:rPr>
              <w:t>(Başvuru Numarası: 2019/7746)</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color w:val="010000"/>
              </w:rPr>
            </w:pPr>
            <w:r>
              <w:rPr>
                <w:color w:val="010000"/>
              </w:rPr>
              <w:t>Karar Tarihi: 15/5/2020</w:t>
            </w: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r w:rsidR="005F2E60" w:rsidRPr="005F2E60" w:rsidTr="005F2E60">
        <w:tblPrEx>
          <w:tblCellMar>
            <w:top w:w="0" w:type="dxa"/>
            <w:bottom w:w="0" w:type="dxa"/>
          </w:tblCellMar>
        </w:tblPrEx>
        <w:trPr>
          <w:trHeight w:val="500"/>
          <w:jc w:val="center"/>
        </w:trPr>
        <w:tc>
          <w:tcPr>
            <w:tcW w:w="9072" w:type="dxa"/>
            <w:vAlign w:val="center"/>
          </w:tcPr>
          <w:p w:rsidR="005F2E60" w:rsidRPr="005F2E60" w:rsidRDefault="005F2E60" w:rsidP="005F2E60">
            <w:pPr>
              <w:widowControl/>
              <w:suppressAutoHyphens w:val="0"/>
              <w:spacing w:after="200"/>
              <w:ind w:right="283"/>
              <w:jc w:val="center"/>
              <w:rPr>
                <w:b/>
                <w:color w:val="010000"/>
              </w:rPr>
            </w:pPr>
          </w:p>
        </w:tc>
      </w:tr>
    </w:tbl>
    <w:p w:rsidR="005F2E60" w:rsidRDefault="005F2E60" w:rsidP="005F2E60">
      <w:pPr>
        <w:widowControl/>
        <w:suppressAutoHyphens w:val="0"/>
        <w:spacing w:after="200"/>
        <w:ind w:left="283" w:right="283" w:firstLine="567"/>
        <w:jc w:val="both"/>
        <w:rPr>
          <w:b/>
          <w:color w:val="010000"/>
        </w:rPr>
        <w:sectPr w:rsidR="005F2E60" w:rsidSect="005F2E60">
          <w:headerReference w:type="default" r:id="rId6"/>
          <w:footerReference w:type="default" r:id="rId7"/>
          <w:pgSz w:w="11906" w:h="16838"/>
          <w:pgMar w:top="976" w:right="1417" w:bottom="941" w:left="1417" w:header="400" w:footer="400" w:gutter="0"/>
          <w:cols w:space="708"/>
          <w:titlePg/>
          <w:docGrid w:linePitch="600" w:charSpace="32768"/>
        </w:sectPr>
      </w:pPr>
    </w:p>
    <w:p w:rsidR="005F2E60" w:rsidRDefault="005F2E60" w:rsidP="005F2E60">
      <w:pPr>
        <w:widowControl/>
        <w:suppressAutoHyphens w:val="0"/>
        <w:spacing w:after="200"/>
        <w:ind w:left="283" w:right="283" w:firstLine="567"/>
        <w:jc w:val="both"/>
        <w:rPr>
          <w:b/>
          <w:color w:val="010000"/>
        </w:rPr>
      </w:pPr>
    </w:p>
    <w:p w:rsidR="00580097" w:rsidRPr="005F2E60" w:rsidRDefault="00F54683" w:rsidP="005F2E60">
      <w:pPr>
        <w:widowControl/>
        <w:suppressAutoHyphens w:val="0"/>
        <w:spacing w:after="200"/>
        <w:ind w:left="283" w:right="283" w:firstLine="1"/>
        <w:jc w:val="center"/>
        <w:rPr>
          <w:color w:val="010000"/>
        </w:rPr>
      </w:pPr>
      <w:r w:rsidRPr="005F2E60">
        <w:rPr>
          <w:b/>
          <w:color w:val="010000"/>
        </w:rPr>
        <w:t>BİRİNCİ BÖLÜM</w:t>
      </w:r>
    </w:p>
    <w:p w:rsidR="00580097" w:rsidRPr="005F2E60" w:rsidRDefault="00F54683" w:rsidP="005F2E60">
      <w:pPr>
        <w:widowControl/>
        <w:suppressAutoHyphens w:val="0"/>
        <w:spacing w:after="200"/>
        <w:ind w:left="283" w:right="283" w:firstLine="1"/>
        <w:jc w:val="center"/>
        <w:rPr>
          <w:color w:val="010000"/>
        </w:rPr>
      </w:pPr>
      <w:r w:rsidRPr="005F2E60">
        <w:rPr>
          <w:b/>
          <w:color w:val="010000"/>
        </w:rPr>
        <w:t>KARAR</w:t>
      </w:r>
    </w:p>
    <w:p w:rsidR="005F2E60" w:rsidRDefault="005F2E60" w:rsidP="005F2E60">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r w:rsidRPr="005F2E60">
              <w:rPr>
                <w:b/>
                <w:color w:val="010000"/>
              </w:rPr>
              <w:t>Başkan</w:t>
            </w:r>
          </w:p>
        </w:tc>
        <w:tc>
          <w:tcPr>
            <w:tcW w:w="200" w:type="dxa"/>
          </w:tcPr>
          <w:p w:rsidR="005F2E60" w:rsidRPr="005F2E60" w:rsidRDefault="005F2E60" w:rsidP="005F2E60">
            <w:pPr>
              <w:widowControl/>
              <w:suppressAutoHyphens w:val="0"/>
              <w:rPr>
                <w:b/>
                <w:color w:val="010000"/>
              </w:rPr>
            </w:pPr>
            <w:r w:rsidRPr="005F2E60">
              <w:rPr>
                <w:b/>
                <w:color w:val="010000"/>
              </w:rPr>
              <w:t>:</w:t>
            </w:r>
          </w:p>
        </w:tc>
        <w:tc>
          <w:tcPr>
            <w:tcW w:w="5400" w:type="dxa"/>
          </w:tcPr>
          <w:p w:rsidR="005F2E60" w:rsidRPr="005F2E60" w:rsidRDefault="005F2E60" w:rsidP="005F2E60">
            <w:pPr>
              <w:widowControl/>
              <w:suppressAutoHyphens w:val="0"/>
              <w:rPr>
                <w:color w:val="010000"/>
              </w:rPr>
            </w:pPr>
            <w:r w:rsidRPr="005F2E60">
              <w:rPr>
                <w:color w:val="010000"/>
              </w:rPr>
              <w:t>Hasan Tahsin GÖKCAN</w:t>
            </w:r>
          </w:p>
        </w:tc>
      </w:tr>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r w:rsidRPr="005F2E60">
              <w:rPr>
                <w:b/>
                <w:color w:val="010000"/>
              </w:rPr>
              <w:t>Üyeler</w:t>
            </w:r>
          </w:p>
        </w:tc>
        <w:tc>
          <w:tcPr>
            <w:tcW w:w="200" w:type="dxa"/>
          </w:tcPr>
          <w:p w:rsidR="005F2E60" w:rsidRPr="005F2E60" w:rsidRDefault="005F2E60" w:rsidP="005F2E60">
            <w:pPr>
              <w:widowControl/>
              <w:suppressAutoHyphens w:val="0"/>
              <w:rPr>
                <w:b/>
                <w:color w:val="010000"/>
              </w:rPr>
            </w:pPr>
            <w:r w:rsidRPr="005F2E60">
              <w:rPr>
                <w:b/>
                <w:color w:val="010000"/>
              </w:rPr>
              <w:t>:</w:t>
            </w:r>
          </w:p>
        </w:tc>
        <w:tc>
          <w:tcPr>
            <w:tcW w:w="5400" w:type="dxa"/>
          </w:tcPr>
          <w:p w:rsidR="005F2E60" w:rsidRPr="005F2E60" w:rsidRDefault="005F2E60" w:rsidP="005F2E60">
            <w:pPr>
              <w:widowControl/>
              <w:suppressAutoHyphens w:val="0"/>
              <w:rPr>
                <w:color w:val="010000"/>
              </w:rPr>
            </w:pPr>
            <w:r w:rsidRPr="005F2E60">
              <w:rPr>
                <w:color w:val="010000"/>
              </w:rPr>
              <w:t>Burhan ÜSTÜN</w:t>
            </w:r>
          </w:p>
        </w:tc>
      </w:tr>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p>
        </w:tc>
        <w:tc>
          <w:tcPr>
            <w:tcW w:w="200" w:type="dxa"/>
          </w:tcPr>
          <w:p w:rsidR="005F2E60" w:rsidRPr="005F2E60" w:rsidRDefault="005F2E60" w:rsidP="005F2E60">
            <w:pPr>
              <w:widowControl/>
              <w:suppressAutoHyphens w:val="0"/>
              <w:rPr>
                <w:b/>
                <w:color w:val="010000"/>
              </w:rPr>
            </w:pPr>
          </w:p>
        </w:tc>
        <w:tc>
          <w:tcPr>
            <w:tcW w:w="5400" w:type="dxa"/>
          </w:tcPr>
          <w:p w:rsidR="005F2E60" w:rsidRPr="005F2E60" w:rsidRDefault="005F2E60" w:rsidP="005F2E60">
            <w:pPr>
              <w:widowControl/>
              <w:suppressAutoHyphens w:val="0"/>
              <w:rPr>
                <w:color w:val="010000"/>
              </w:rPr>
            </w:pPr>
            <w:proofErr w:type="spellStart"/>
            <w:r w:rsidRPr="005F2E60">
              <w:rPr>
                <w:color w:val="010000"/>
              </w:rPr>
              <w:t>Hicabi</w:t>
            </w:r>
            <w:proofErr w:type="spellEnd"/>
            <w:r w:rsidRPr="005F2E60">
              <w:rPr>
                <w:color w:val="010000"/>
              </w:rPr>
              <w:t xml:space="preserve"> DURSUN</w:t>
            </w:r>
          </w:p>
        </w:tc>
      </w:tr>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p>
        </w:tc>
        <w:tc>
          <w:tcPr>
            <w:tcW w:w="200" w:type="dxa"/>
          </w:tcPr>
          <w:p w:rsidR="005F2E60" w:rsidRPr="005F2E60" w:rsidRDefault="005F2E60" w:rsidP="005F2E60">
            <w:pPr>
              <w:widowControl/>
              <w:suppressAutoHyphens w:val="0"/>
              <w:rPr>
                <w:b/>
                <w:color w:val="010000"/>
              </w:rPr>
            </w:pPr>
          </w:p>
        </w:tc>
        <w:tc>
          <w:tcPr>
            <w:tcW w:w="5400" w:type="dxa"/>
          </w:tcPr>
          <w:p w:rsidR="005F2E60" w:rsidRPr="005F2E60" w:rsidRDefault="005F2E60" w:rsidP="005F2E60">
            <w:pPr>
              <w:widowControl/>
              <w:suppressAutoHyphens w:val="0"/>
              <w:rPr>
                <w:color w:val="010000"/>
              </w:rPr>
            </w:pPr>
            <w:r w:rsidRPr="005F2E60">
              <w:rPr>
                <w:color w:val="010000"/>
              </w:rPr>
              <w:t>Yusuf Şevki HAKYEMEZ</w:t>
            </w:r>
          </w:p>
        </w:tc>
      </w:tr>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p>
        </w:tc>
        <w:tc>
          <w:tcPr>
            <w:tcW w:w="200" w:type="dxa"/>
          </w:tcPr>
          <w:p w:rsidR="005F2E60" w:rsidRPr="005F2E60" w:rsidRDefault="005F2E60" w:rsidP="005F2E60">
            <w:pPr>
              <w:widowControl/>
              <w:suppressAutoHyphens w:val="0"/>
              <w:rPr>
                <w:b/>
                <w:color w:val="010000"/>
              </w:rPr>
            </w:pPr>
          </w:p>
        </w:tc>
        <w:tc>
          <w:tcPr>
            <w:tcW w:w="5400" w:type="dxa"/>
          </w:tcPr>
          <w:p w:rsidR="005F2E60" w:rsidRPr="005F2E60" w:rsidRDefault="005F2E60" w:rsidP="005F2E60">
            <w:pPr>
              <w:widowControl/>
              <w:suppressAutoHyphens w:val="0"/>
              <w:rPr>
                <w:color w:val="010000"/>
              </w:rPr>
            </w:pPr>
            <w:r w:rsidRPr="005F2E60">
              <w:rPr>
                <w:color w:val="010000"/>
              </w:rPr>
              <w:t>Selahaddin MENTEŞ</w:t>
            </w:r>
          </w:p>
        </w:tc>
      </w:tr>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r w:rsidRPr="005F2E60">
              <w:rPr>
                <w:b/>
                <w:color w:val="010000"/>
              </w:rPr>
              <w:t>Raportör</w:t>
            </w:r>
          </w:p>
        </w:tc>
        <w:tc>
          <w:tcPr>
            <w:tcW w:w="200" w:type="dxa"/>
          </w:tcPr>
          <w:p w:rsidR="005F2E60" w:rsidRPr="005F2E60" w:rsidRDefault="005F2E60" w:rsidP="005F2E60">
            <w:pPr>
              <w:widowControl/>
              <w:suppressAutoHyphens w:val="0"/>
              <w:rPr>
                <w:b/>
                <w:color w:val="010000"/>
              </w:rPr>
            </w:pPr>
            <w:r w:rsidRPr="005F2E60">
              <w:rPr>
                <w:b/>
                <w:color w:val="010000"/>
              </w:rPr>
              <w:t>:</w:t>
            </w:r>
          </w:p>
        </w:tc>
        <w:tc>
          <w:tcPr>
            <w:tcW w:w="5400" w:type="dxa"/>
          </w:tcPr>
          <w:p w:rsidR="005F2E60" w:rsidRPr="005F2E60" w:rsidRDefault="005F2E60" w:rsidP="005F2E60">
            <w:pPr>
              <w:widowControl/>
              <w:suppressAutoHyphens w:val="0"/>
              <w:rPr>
                <w:color w:val="010000"/>
              </w:rPr>
            </w:pPr>
            <w:r w:rsidRPr="005F2E60">
              <w:rPr>
                <w:color w:val="010000"/>
              </w:rPr>
              <w:t>Tuğba YILDIZ</w:t>
            </w:r>
          </w:p>
        </w:tc>
      </w:tr>
      <w:tr w:rsidR="005F2E60" w:rsidRPr="005F2E60" w:rsidTr="005F2E60">
        <w:tblPrEx>
          <w:tblCellMar>
            <w:top w:w="0" w:type="dxa"/>
            <w:bottom w:w="0" w:type="dxa"/>
          </w:tblCellMar>
        </w:tblPrEx>
        <w:trPr>
          <w:trHeight w:val="454"/>
        </w:trPr>
        <w:tc>
          <w:tcPr>
            <w:tcW w:w="2400" w:type="dxa"/>
          </w:tcPr>
          <w:p w:rsidR="005F2E60" w:rsidRPr="005F2E60" w:rsidRDefault="005F2E60" w:rsidP="005F2E60">
            <w:pPr>
              <w:widowControl/>
              <w:suppressAutoHyphens w:val="0"/>
              <w:rPr>
                <w:b/>
                <w:color w:val="010000"/>
              </w:rPr>
            </w:pPr>
            <w:r w:rsidRPr="005F2E60">
              <w:rPr>
                <w:b/>
                <w:color w:val="010000"/>
              </w:rPr>
              <w:t>Başvurucu</w:t>
            </w:r>
          </w:p>
        </w:tc>
        <w:tc>
          <w:tcPr>
            <w:tcW w:w="200" w:type="dxa"/>
          </w:tcPr>
          <w:p w:rsidR="005F2E60" w:rsidRPr="005F2E60" w:rsidRDefault="005F2E60" w:rsidP="005F2E60">
            <w:pPr>
              <w:widowControl/>
              <w:suppressAutoHyphens w:val="0"/>
              <w:rPr>
                <w:b/>
                <w:color w:val="010000"/>
              </w:rPr>
            </w:pPr>
            <w:r w:rsidRPr="005F2E60">
              <w:rPr>
                <w:b/>
                <w:color w:val="010000"/>
              </w:rPr>
              <w:t>:</w:t>
            </w:r>
          </w:p>
        </w:tc>
        <w:tc>
          <w:tcPr>
            <w:tcW w:w="5400" w:type="dxa"/>
          </w:tcPr>
          <w:p w:rsidR="005F2E60" w:rsidRPr="005F2E60" w:rsidRDefault="005F2E60" w:rsidP="005F2E60">
            <w:pPr>
              <w:widowControl/>
              <w:suppressAutoHyphens w:val="0"/>
              <w:rPr>
                <w:color w:val="010000"/>
              </w:rPr>
            </w:pPr>
            <w:r w:rsidRPr="005F2E60">
              <w:rPr>
                <w:color w:val="010000"/>
              </w:rPr>
              <w:t>Hüseyin SOYDAŞ</w:t>
            </w:r>
          </w:p>
        </w:tc>
      </w:tr>
    </w:tbl>
    <w:p w:rsidR="005F2E60" w:rsidRDefault="005F2E60" w:rsidP="005F2E60">
      <w:pPr>
        <w:widowControl/>
        <w:suppressAutoHyphens w:val="0"/>
        <w:spacing w:after="200"/>
        <w:ind w:left="283" w:right="283" w:firstLine="567"/>
        <w:jc w:val="both"/>
        <w:rPr>
          <w:b/>
          <w:color w:val="010000"/>
        </w:rPr>
      </w:pPr>
    </w:p>
    <w:p w:rsidR="00580097" w:rsidRPr="005F2E60" w:rsidRDefault="00F54683" w:rsidP="005F2E60">
      <w:pPr>
        <w:widowControl/>
        <w:suppressAutoHyphens w:val="0"/>
        <w:spacing w:after="200"/>
        <w:ind w:left="283" w:right="283" w:firstLine="567"/>
        <w:jc w:val="both"/>
        <w:rPr>
          <w:color w:val="010000"/>
        </w:rPr>
      </w:pPr>
      <w:r w:rsidRPr="005F2E60">
        <w:rPr>
          <w:b/>
          <w:color w:val="010000"/>
        </w:rPr>
        <w:t>I.</w:t>
      </w:r>
      <w:r w:rsidR="005F2E60" w:rsidRPr="005F2E60">
        <w:rPr>
          <w:color w:val="010000"/>
        </w:rPr>
        <w:t xml:space="preserve"> </w:t>
      </w:r>
      <w:r w:rsidRPr="005F2E60">
        <w:rPr>
          <w:b/>
          <w:color w:val="010000"/>
        </w:rPr>
        <w:t>BAŞVURUNUN KONUSU</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w:t>
      </w:r>
      <w:r w:rsidR="005F2E60" w:rsidRPr="005F2E60">
        <w:rPr>
          <w:color w:val="010000"/>
        </w:rPr>
        <w:t xml:space="preserve"> </w:t>
      </w:r>
      <w:r w:rsidRPr="005F2E60">
        <w:rPr>
          <w:color w:val="010000"/>
        </w:rPr>
        <w:t xml:space="preserve">Başvuru, idari davanın makul sürede sonuçlanmaması nedeniyle adil yargılanma hakkının ihlal edildiği iddiasına ilişkindir. </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II.</w:t>
      </w:r>
      <w:r w:rsidR="005F2E60" w:rsidRPr="005F2E60">
        <w:rPr>
          <w:color w:val="010000"/>
        </w:rPr>
        <w:t xml:space="preserve"> </w:t>
      </w:r>
      <w:r w:rsidRPr="005F2E60">
        <w:rPr>
          <w:b/>
          <w:color w:val="010000"/>
        </w:rPr>
        <w:t>BAŞVURU SÜRECİ</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2.</w:t>
      </w:r>
      <w:r w:rsidR="005F2E60" w:rsidRPr="005F2E60">
        <w:rPr>
          <w:color w:val="010000"/>
        </w:rPr>
        <w:t xml:space="preserve"> </w:t>
      </w:r>
      <w:r w:rsidRPr="005F2E60">
        <w:rPr>
          <w:color w:val="010000"/>
        </w:rPr>
        <w:t>Başvuru 4/3/2019 tarihinde yapılmıştır.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3.</w:t>
      </w:r>
      <w:r w:rsidR="005F2E60" w:rsidRPr="005F2E60">
        <w:rPr>
          <w:color w:val="010000"/>
        </w:rPr>
        <w:t xml:space="preserve"> </w:t>
      </w:r>
      <w:r w:rsidRPr="005F2E60">
        <w:rPr>
          <w:color w:val="010000"/>
        </w:rPr>
        <w:t>Başvuru, başvuru formu ve eklerinin idari yönden yapılan ön incelemesinden sonra Komisyona sunulmuştur.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4.</w:t>
      </w:r>
      <w:r w:rsidR="005F2E60" w:rsidRPr="005F2E60">
        <w:rPr>
          <w:color w:val="010000"/>
        </w:rPr>
        <w:t xml:space="preserve"> </w:t>
      </w:r>
      <w:r w:rsidRPr="005F2E60">
        <w:rPr>
          <w:color w:val="010000"/>
        </w:rPr>
        <w:t xml:space="preserve">Komisyonca başvurunun kabul edilebilirlik incelemesinin Bölüm tarafından yapılmasına karar verilmiştir. </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5.</w:t>
      </w:r>
      <w:r w:rsidR="005F2E60" w:rsidRPr="005F2E60">
        <w:rPr>
          <w:color w:val="010000"/>
        </w:rPr>
        <w:t xml:space="preserve"> </w:t>
      </w:r>
      <w:r w:rsidRPr="005F2E60">
        <w:rPr>
          <w:color w:val="010000"/>
        </w:rPr>
        <w:t>Bölüm Başkanı tarafından başvurunun kabul edilebilirlik ve esas incelemesinin birlikte yapılmasına karar verilmiştir.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6.</w:t>
      </w:r>
      <w:r w:rsidR="005F2E60" w:rsidRPr="005F2E60">
        <w:rPr>
          <w:color w:val="010000"/>
        </w:rPr>
        <w:t xml:space="preserve"> </w:t>
      </w:r>
      <w:r w:rsidRPr="005F2E60">
        <w:rPr>
          <w:color w:val="010000"/>
        </w:rPr>
        <w:t xml:space="preserve">Başvuru belgelerinin bir örneği bilgi için Adalet Bakanlığına (Bakanlık) gönderilmiştir. Anayasa Mahkemesi </w:t>
      </w:r>
      <w:proofErr w:type="spellStart"/>
      <w:r w:rsidRPr="005F2E60">
        <w:rPr>
          <w:color w:val="010000"/>
        </w:rPr>
        <w:t>İçtüzüğü'nün</w:t>
      </w:r>
      <w:proofErr w:type="spellEnd"/>
      <w:r w:rsidRPr="005F2E60">
        <w:rPr>
          <w:color w:val="010000"/>
        </w:rPr>
        <w:t xml:space="preserve"> 71. maddesinin (2) numaralı fıkrası uyarınca başvurunun içtihadın oluştuğu alana ilişkin olduğu değerlendirilerek Bakanlık cevabı beklenmeden incelenmesine karar verilmiştir.</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III.</w:t>
      </w:r>
      <w:r w:rsidR="005F2E60" w:rsidRPr="005F2E60">
        <w:rPr>
          <w:color w:val="010000"/>
        </w:rPr>
        <w:t xml:space="preserve"> </w:t>
      </w:r>
      <w:r w:rsidRPr="005F2E60">
        <w:rPr>
          <w:b/>
          <w:color w:val="010000"/>
        </w:rPr>
        <w:t xml:space="preserve">OLAY VE OLGULAR </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7.</w:t>
      </w:r>
      <w:r w:rsidR="005F2E60" w:rsidRPr="005F2E60">
        <w:rPr>
          <w:color w:val="010000"/>
        </w:rPr>
        <w:t xml:space="preserve"> </w:t>
      </w:r>
      <w:r w:rsidRPr="005F2E60">
        <w:rPr>
          <w:color w:val="010000"/>
        </w:rPr>
        <w:t>Başvuru formu ve eklerinde ifade edildiği şekliyle ilgili olaylar özetle şöyledir: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8.</w:t>
      </w:r>
      <w:r w:rsidR="005F2E60" w:rsidRPr="005F2E60">
        <w:rPr>
          <w:color w:val="010000"/>
        </w:rPr>
        <w:t xml:space="preserve"> </w:t>
      </w:r>
      <w:r w:rsidRPr="005F2E60">
        <w:rPr>
          <w:color w:val="010000"/>
        </w:rPr>
        <w:t xml:space="preserve">Başvurucunun 23/5/2012 tarihinde açtığı dava 20/12/2018 tarihinde kesin olarak sonuçlanmıştır. </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9.</w:t>
      </w:r>
      <w:r w:rsidR="005F2E60" w:rsidRPr="005F2E60">
        <w:rPr>
          <w:color w:val="010000"/>
        </w:rPr>
        <w:t xml:space="preserve"> </w:t>
      </w:r>
      <w:r w:rsidRPr="005F2E60">
        <w:rPr>
          <w:color w:val="010000"/>
        </w:rPr>
        <w:t>Başvurucu 4/3/2019 tarihinde bireysel başvuruda bulunmuştur.</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IV.</w:t>
      </w:r>
      <w:r w:rsidR="005F2E60" w:rsidRPr="005F2E60">
        <w:rPr>
          <w:color w:val="010000"/>
        </w:rPr>
        <w:t xml:space="preserve"> </w:t>
      </w:r>
      <w:r w:rsidRPr="005F2E60">
        <w:rPr>
          <w:b/>
          <w:color w:val="010000"/>
        </w:rPr>
        <w:t>İNCELEME VE GEREKÇE</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10.</w:t>
      </w:r>
      <w:r w:rsidR="005F2E60" w:rsidRPr="005F2E60">
        <w:rPr>
          <w:color w:val="010000"/>
        </w:rPr>
        <w:t xml:space="preserve"> </w:t>
      </w:r>
      <w:r w:rsidRPr="005F2E60">
        <w:rPr>
          <w:color w:val="010000"/>
        </w:rPr>
        <w:t>Mahkemenin 15/5/2020 tarihinde yapmış olduğu toplantıda başvuru incelenip gereği düşünüldü:</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lastRenderedPageBreak/>
        <w:t>A.</w:t>
      </w:r>
      <w:r w:rsidR="005F2E60" w:rsidRPr="005F2E60">
        <w:rPr>
          <w:color w:val="010000"/>
        </w:rPr>
        <w:t xml:space="preserve"> </w:t>
      </w:r>
      <w:r w:rsidRPr="005F2E60">
        <w:rPr>
          <w:b/>
          <w:color w:val="010000"/>
        </w:rPr>
        <w:t>Başvurucunun İddiaları</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11.</w:t>
      </w:r>
      <w:r w:rsidR="005F2E60" w:rsidRPr="005F2E60">
        <w:rPr>
          <w:color w:val="010000"/>
        </w:rPr>
        <w:t xml:space="preserve"> </w:t>
      </w:r>
      <w:r w:rsidRPr="005F2E60">
        <w:rPr>
          <w:color w:val="010000"/>
        </w:rPr>
        <w:t>Başvurucu, uzun süren yargılama ve hatalı karar verilmesi nedeniyle adil yargılanma hakkının ve üniversiteden istediği başarılı olduğuna ilişkin ders notlarının süresinde verilmemesi nedeniyle eğitim hakkının ihlal edildiğini ileri sürmüştür.</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B.</w:t>
      </w:r>
      <w:r w:rsidR="005F2E60" w:rsidRPr="005F2E60">
        <w:rPr>
          <w:color w:val="010000"/>
        </w:rPr>
        <w:t xml:space="preserve"> </w:t>
      </w:r>
      <w:r w:rsidRPr="005F2E60">
        <w:rPr>
          <w:b/>
          <w:color w:val="010000"/>
        </w:rPr>
        <w:t>Değerlendirme</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12.</w:t>
      </w:r>
      <w:r w:rsidR="005F2E60" w:rsidRPr="005F2E60">
        <w:rPr>
          <w:color w:val="010000"/>
        </w:rPr>
        <w:t xml:space="preserve"> </w:t>
      </w:r>
      <w:r w:rsidRPr="005F2E60">
        <w:rPr>
          <w:color w:val="010000"/>
        </w:rPr>
        <w:t>Anayasa’nın 36. maddesinin birinci fıkrası şöyledir:</w:t>
      </w:r>
    </w:p>
    <w:p w:rsidR="00580097" w:rsidRPr="005F2E60" w:rsidRDefault="00F54683" w:rsidP="005F2E60">
      <w:pPr>
        <w:pStyle w:val="edf1450279197847"/>
        <w:widowControl/>
        <w:suppressAutoHyphens w:val="0"/>
        <w:spacing w:after="200"/>
        <w:ind w:left="283" w:right="283" w:firstLine="567"/>
        <w:jc w:val="both"/>
        <w:rPr>
          <w:rFonts w:cs="Times New Roman"/>
          <w:color w:val="010000"/>
        </w:rPr>
      </w:pPr>
      <w:r w:rsidRPr="005F2E60">
        <w:rPr>
          <w:rFonts w:cs="Times New Roman"/>
          <w:color w:val="010000"/>
        </w:rPr>
        <w:t>"</w:t>
      </w:r>
      <w:r w:rsidRPr="005F2E60">
        <w:rPr>
          <w:rFonts w:cs="Times New Roman"/>
          <w:i/>
          <w:iCs/>
          <w:color w:val="010000"/>
          <w:sz w:val="22"/>
        </w:rPr>
        <w:t>Herkes, meşru vasıta ve yollardan faydalanmak suretiyle yargı mercileri önünde davacı veya davalı olarak iddia ve savunma ile adil yargılanma hakkına sahiptir."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13.</w:t>
      </w:r>
      <w:r w:rsidR="005F2E60" w:rsidRPr="005F2E60">
        <w:rPr>
          <w:color w:val="010000"/>
        </w:rPr>
        <w:t xml:space="preserve"> </w:t>
      </w:r>
      <w:r w:rsidRPr="005F2E60">
        <w:rPr>
          <w:color w:val="010000"/>
        </w:rPr>
        <w:t xml:space="preserve">Başvurucu, her ne kadar eğitim hakkının ve mahkemenin hatalı yorumla hukuka aykırı karar vermesi nedeniyle adil yargılanma hakkının ihlal edildiğini ileri sürmüş ise de başvurucunun iddialarının karar sonucuna ilişkin olduğu anlaşıldığından söz konusu iddialar yönünden ayrıca değerlendirme yapılmasının gerekmediği sonucuna ulaşılmıştır. </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1.</w:t>
      </w:r>
      <w:r w:rsidR="005F2E60" w:rsidRPr="005F2E60">
        <w:rPr>
          <w:color w:val="010000"/>
        </w:rPr>
        <w:t xml:space="preserve"> </w:t>
      </w:r>
      <w:r w:rsidRPr="005F2E60">
        <w:rPr>
          <w:b/>
          <w:color w:val="010000"/>
        </w:rPr>
        <w:t>Kabul Edilebilirlik Yönünden</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14.</w:t>
      </w:r>
      <w:r w:rsidR="005F2E60" w:rsidRPr="005F2E60">
        <w:rPr>
          <w:color w:val="010000"/>
        </w:rPr>
        <w:t xml:space="preserve"> </w:t>
      </w:r>
      <w:r w:rsidRPr="005F2E60">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2.</w:t>
      </w:r>
      <w:r w:rsidR="005F2E60" w:rsidRPr="005F2E60">
        <w:rPr>
          <w:color w:val="010000"/>
        </w:rPr>
        <w:t xml:space="preserve"> </w:t>
      </w:r>
      <w:r w:rsidRPr="005F2E60">
        <w:rPr>
          <w:b/>
          <w:color w:val="010000"/>
        </w:rPr>
        <w:t>Esas Yönünden</w:t>
      </w:r>
    </w:p>
    <w:p w:rsidR="00580097" w:rsidRPr="005F2E60" w:rsidRDefault="00F54683" w:rsidP="005F2E60">
      <w:pPr>
        <w:pStyle w:val="edf1450279197849"/>
        <w:widowControl/>
        <w:suppressAutoHyphens w:val="0"/>
        <w:spacing w:after="200"/>
        <w:ind w:left="283" w:right="283" w:firstLine="567"/>
        <w:jc w:val="both"/>
        <w:rPr>
          <w:rFonts w:cs="Times New Roman"/>
          <w:color w:val="010000"/>
        </w:rPr>
      </w:pPr>
      <w:r w:rsidRPr="005F2E60">
        <w:rPr>
          <w:rFonts w:cs="Times New Roman"/>
          <w:color w:val="010000"/>
        </w:rPr>
        <w:t>15.</w:t>
      </w:r>
      <w:r w:rsidR="005F2E60" w:rsidRPr="005F2E60">
        <w:rPr>
          <w:rFonts w:cs="Times New Roman"/>
          <w:color w:val="010000"/>
        </w:rPr>
        <w:t xml:space="preserve"> </w:t>
      </w:r>
      <w:r w:rsidRPr="005F2E60">
        <w:rPr>
          <w:rFonts w:cs="Times New Roman"/>
          <w:color w:val="010000"/>
        </w:rPr>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sidRPr="005F2E60">
        <w:rPr>
          <w:rFonts w:cs="Times New Roman"/>
          <w:i/>
          <w:iCs/>
          <w:color w:val="010000"/>
        </w:rPr>
        <w:t>Selahattin Akyıl,</w:t>
      </w:r>
      <w:r w:rsidRPr="005F2E60">
        <w:rPr>
          <w:rFonts w:cs="Times New Roman"/>
          <w:color w:val="010000"/>
        </w:rPr>
        <w:t xml:space="preserve"> B. No: 2012/1198, 7/11/2013, §§ 45, 47).</w:t>
      </w:r>
    </w:p>
    <w:p w:rsidR="00580097" w:rsidRPr="005F2E60" w:rsidRDefault="00F54683" w:rsidP="005F2E60">
      <w:pPr>
        <w:pStyle w:val="edf1450279197849"/>
        <w:widowControl/>
        <w:suppressAutoHyphens w:val="0"/>
        <w:spacing w:after="200"/>
        <w:ind w:left="283" w:right="283" w:firstLine="567"/>
        <w:jc w:val="both"/>
        <w:rPr>
          <w:rFonts w:cs="Times New Roman"/>
          <w:color w:val="010000"/>
        </w:rPr>
      </w:pPr>
      <w:r w:rsidRPr="005F2E60">
        <w:rPr>
          <w:rFonts w:cs="Times New Roman"/>
          <w:color w:val="010000"/>
        </w:rPr>
        <w:t>16.</w:t>
      </w:r>
      <w:r w:rsidR="005F2E60" w:rsidRPr="005F2E60">
        <w:rPr>
          <w:rFonts w:cs="Times New Roman"/>
          <w:color w:val="010000"/>
        </w:rPr>
        <w:t xml:space="preserve"> </w:t>
      </w:r>
      <w:r w:rsidRPr="005F2E60">
        <w:rPr>
          <w:rFonts w:cs="Times New Roman"/>
          <w:color w:val="010000"/>
        </w:rPr>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5F2E60">
        <w:rPr>
          <w:rFonts w:cs="Times New Roman"/>
          <w:i/>
          <w:iCs/>
          <w:color w:val="010000"/>
        </w:rPr>
        <w:t>Selahattin Akyıl,</w:t>
      </w:r>
      <w:r w:rsidRPr="005F2E60">
        <w:rPr>
          <w:rFonts w:cs="Times New Roman"/>
          <w:color w:val="010000"/>
        </w:rPr>
        <w:t xml:space="preserve"> § 41).</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17.</w:t>
      </w:r>
      <w:r w:rsidR="005F2E60" w:rsidRPr="005F2E60">
        <w:rPr>
          <w:color w:val="010000"/>
        </w:rPr>
        <w:t xml:space="preserve"> </w:t>
      </w:r>
      <w:r w:rsidRPr="005F2E60">
        <w:rPr>
          <w:color w:val="010000"/>
        </w:rPr>
        <w:t>Anılan ilkeler ve Anayasa Mahkemesinin benzer başvurularda verdiği kararlar dikkate alındığında yaklaşık 6 yıl 6 aylık yargılama süresinin makul olmadığı sonucuna varılmıştır.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18.</w:t>
      </w:r>
      <w:r w:rsidR="005F2E60" w:rsidRPr="005F2E60">
        <w:rPr>
          <w:color w:val="010000"/>
        </w:rPr>
        <w:t xml:space="preserve"> </w:t>
      </w:r>
      <w:r w:rsidRPr="005F2E60">
        <w:rPr>
          <w:color w:val="010000"/>
        </w:rPr>
        <w:t>Açıklanan gerekçelerle Anayasa’nın 36. maddesinde güvence altına alınan makul sürede yargılanma hakkının ihlal edildiğine karar verilmesi gerekir.</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3.</w:t>
      </w:r>
      <w:r w:rsidR="005F2E60" w:rsidRPr="005F2E60">
        <w:rPr>
          <w:color w:val="010000"/>
        </w:rPr>
        <w:t xml:space="preserve"> </w:t>
      </w:r>
      <w:r w:rsidRPr="005F2E60">
        <w:rPr>
          <w:b/>
          <w:color w:val="010000"/>
        </w:rPr>
        <w:t>6216 Sayılı Kanun'un 50. Maddesi Yönünden</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19.</w:t>
      </w:r>
      <w:r w:rsidR="005F2E60" w:rsidRPr="005F2E60">
        <w:rPr>
          <w:color w:val="010000"/>
        </w:rPr>
        <w:t xml:space="preserve"> </w:t>
      </w:r>
      <w:r w:rsidRPr="005F2E60">
        <w:rPr>
          <w:color w:val="010000"/>
        </w:rPr>
        <w:t>30/3/2011 tarihli ve 6216 sayılı Anayasa Mahkemesinin Kuruluşu ve Yargılama Usulleri Hakkında Kanun’un 50. maddesinin ilgili kısmı şöyledir:</w:t>
      </w:r>
    </w:p>
    <w:p w:rsidR="00580097" w:rsidRPr="005F2E60" w:rsidRDefault="005F2E60" w:rsidP="005F2E60">
      <w:pPr>
        <w:widowControl/>
        <w:suppressAutoHyphens w:val="0"/>
        <w:spacing w:after="200"/>
        <w:ind w:left="283" w:right="283" w:firstLine="567"/>
        <w:jc w:val="both"/>
        <w:rPr>
          <w:color w:val="010000"/>
        </w:rPr>
      </w:pPr>
      <w:r w:rsidRPr="005F2E60">
        <w:rPr>
          <w:i/>
          <w:iCs/>
          <w:color w:val="010000"/>
          <w:sz w:val="22"/>
        </w:rPr>
        <w:t xml:space="preserve"> </w:t>
      </w:r>
      <w:r w:rsidR="00F54683" w:rsidRPr="005F2E60">
        <w:rPr>
          <w:i/>
          <w:iCs/>
          <w:color w:val="010000"/>
          <w:sz w:val="22"/>
        </w:rPr>
        <w:t>“(1)</w:t>
      </w:r>
      <w:r w:rsidRPr="005F2E60">
        <w:rPr>
          <w:color w:val="010000"/>
        </w:rPr>
        <w:t xml:space="preserve"> </w:t>
      </w:r>
      <w:r w:rsidR="00F54683" w:rsidRPr="005F2E60">
        <w:rPr>
          <w:i/>
          <w:iCs/>
          <w:color w:val="010000"/>
          <w:sz w:val="22"/>
        </w:rPr>
        <w:t>Esas inceleme sonunda, başvurucunun hakkının ihlal edildiğine ya da edilmediğine karar verilir. İhlal kararı verilmesi hâlinde ihlalin ve sonuçlarının ortadan kaldırılması için yapılması gerekenlere hükmedilir…</w:t>
      </w:r>
    </w:p>
    <w:p w:rsidR="00580097" w:rsidRPr="005F2E60" w:rsidRDefault="005F2E60" w:rsidP="005F2E60">
      <w:pPr>
        <w:widowControl/>
        <w:suppressAutoHyphens w:val="0"/>
        <w:spacing w:after="200"/>
        <w:ind w:left="283" w:right="283" w:firstLine="567"/>
        <w:jc w:val="both"/>
        <w:rPr>
          <w:color w:val="010000"/>
        </w:rPr>
      </w:pPr>
      <w:r w:rsidRPr="005F2E60">
        <w:rPr>
          <w:i/>
          <w:iCs/>
          <w:color w:val="010000"/>
          <w:sz w:val="22"/>
        </w:rPr>
        <w:t xml:space="preserve"> </w:t>
      </w:r>
      <w:r w:rsidR="00F54683" w:rsidRPr="005F2E60">
        <w:rPr>
          <w:i/>
          <w:iCs/>
          <w:color w:val="010000"/>
          <w:sz w:val="22"/>
        </w:rPr>
        <w:t>(2)</w:t>
      </w:r>
      <w:r w:rsidRPr="005F2E60">
        <w:rPr>
          <w:color w:val="010000"/>
        </w:rPr>
        <w:t xml:space="preserve"> </w:t>
      </w:r>
      <w:r w:rsidR="00F54683" w:rsidRPr="005F2E60">
        <w:rPr>
          <w:i/>
          <w:iCs/>
          <w:color w:val="010000"/>
          <w:sz w:val="22"/>
        </w:rPr>
        <w:t xml:space="preserve">Tespit edilen ihlal bir mahkeme kararından kaynaklanmışsa, ihlali ve sonuçlarını ortadan kaldırmak için yeniden yargılama yapmak üzere dosya ilgili mahkemeye gönderilir. Yeniden yargılama yapılmasında hukuki yarar bulunmayan hâllerde başvurucu lehine tazminata </w:t>
      </w:r>
      <w:r w:rsidR="00F54683" w:rsidRPr="005F2E60">
        <w:rPr>
          <w:i/>
          <w:iCs/>
          <w:color w:val="010000"/>
          <w:sz w:val="22"/>
        </w:rPr>
        <w:lastRenderedPageBreak/>
        <w:t>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20.</w:t>
      </w:r>
      <w:r w:rsidR="005F2E60" w:rsidRPr="005F2E60">
        <w:rPr>
          <w:color w:val="010000"/>
        </w:rPr>
        <w:t xml:space="preserve"> </w:t>
      </w:r>
      <w:r w:rsidRPr="005F2E60">
        <w:rPr>
          <w:color w:val="010000"/>
        </w:rPr>
        <w:t>Başvurucu, ihlalin tespitiyle maddi tazminat verilmesi talebinde bulunmuştur.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21.</w:t>
      </w:r>
      <w:r w:rsidR="005F2E60" w:rsidRPr="005F2E60">
        <w:rPr>
          <w:color w:val="010000"/>
        </w:rPr>
        <w:t xml:space="preserve"> </w:t>
      </w:r>
      <w:r w:rsidRPr="005F2E60">
        <w:rPr>
          <w:color w:val="010000"/>
        </w:rPr>
        <w:t>Somut olayda makul sürede yargılanma hakkının ihlal edildiği sonucuna varılmıştır.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22.</w:t>
      </w:r>
      <w:r w:rsidR="005F2E60" w:rsidRPr="005F2E60">
        <w:rPr>
          <w:color w:val="010000"/>
        </w:rPr>
        <w:t xml:space="preserve"> </w:t>
      </w:r>
      <w:r w:rsidRPr="005F2E60">
        <w:rPr>
          <w:color w:val="010000"/>
        </w:rPr>
        <w:t>Başvurucunun manevi tazminat talebi bulunmadığından sadece ihlalin tespitine karar verilmiştir.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23.</w:t>
      </w:r>
      <w:r w:rsidR="005F2E60" w:rsidRPr="005F2E60">
        <w:rPr>
          <w:color w:val="010000"/>
        </w:rPr>
        <w:t xml:space="preserve"> </w:t>
      </w:r>
      <w:r w:rsidRPr="005F2E60">
        <w:rPr>
          <w:color w:val="010000"/>
        </w:rPr>
        <w:t>Anayasa Mahkemesinin maddi tazminata hükmedebilmesi için başvurucunun uğradığını iddia ettiği maddi zarar ile tespit edilen ihlal arasında illiyet bağı bulunmalıdır. Somut olayda tespit edilen ihlalle ileri sürülen maddi zarar arazında illiyet bağı bulunmadığından maddi tazminat talebinin reddi gerekir.</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24.</w:t>
      </w:r>
      <w:r w:rsidR="005F2E60" w:rsidRPr="005F2E60">
        <w:rPr>
          <w:color w:val="010000"/>
        </w:rPr>
        <w:t xml:space="preserve"> </w:t>
      </w:r>
      <w:r w:rsidRPr="005F2E60">
        <w:rPr>
          <w:color w:val="010000"/>
        </w:rPr>
        <w:t>Dosyadaki belgelerden tespit edilen 364,60 TL harçtan oluşan yargılama giderinin başvurucuya ödenmesine karar verilmesi gerekir.</w:t>
      </w:r>
    </w:p>
    <w:p w:rsidR="00580097" w:rsidRPr="005F2E60" w:rsidRDefault="00F54683" w:rsidP="005F2E60">
      <w:pPr>
        <w:widowControl/>
        <w:suppressAutoHyphens w:val="0"/>
        <w:spacing w:after="200"/>
        <w:ind w:left="283" w:right="283" w:firstLine="567"/>
        <w:jc w:val="both"/>
        <w:rPr>
          <w:color w:val="010000"/>
        </w:rPr>
      </w:pPr>
      <w:r w:rsidRPr="005F2E60">
        <w:rPr>
          <w:b/>
          <w:color w:val="010000"/>
        </w:rPr>
        <w:t>V.</w:t>
      </w:r>
      <w:r w:rsidR="005F2E60" w:rsidRPr="005F2E60">
        <w:rPr>
          <w:color w:val="010000"/>
        </w:rPr>
        <w:t xml:space="preserve"> </w:t>
      </w:r>
      <w:r w:rsidRPr="005F2E60">
        <w:rPr>
          <w:b/>
          <w:color w:val="010000"/>
        </w:rPr>
        <w:t>HÜKÜM</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Açıklanan gerekçelerle;</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A.</w:t>
      </w:r>
      <w:r w:rsidR="005F2E60" w:rsidRPr="005F2E60">
        <w:rPr>
          <w:color w:val="010000"/>
        </w:rPr>
        <w:t xml:space="preserve"> </w:t>
      </w:r>
      <w:r w:rsidRPr="005F2E60">
        <w:rPr>
          <w:color w:val="010000"/>
        </w:rPr>
        <w:t>Makul sürede yargılanma hakkının ihlal edildiğine ilişkin iddianın KABUL EDİLEBİLİR OLDUĞUNA,</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B.</w:t>
      </w:r>
      <w:r w:rsidR="005F2E60" w:rsidRPr="005F2E60">
        <w:rPr>
          <w:color w:val="010000"/>
        </w:rPr>
        <w:t xml:space="preserve"> </w:t>
      </w:r>
      <w:r w:rsidRPr="005F2E60">
        <w:rPr>
          <w:color w:val="010000"/>
        </w:rPr>
        <w:t>Anayasa’nın 36. maddesinde güvence altına alınan makul sürede yargılanma hakkının İHLAL EDİLDİĞİNE,</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C.</w:t>
      </w:r>
      <w:r w:rsidR="005F2E60" w:rsidRPr="005F2E60">
        <w:rPr>
          <w:color w:val="010000"/>
        </w:rPr>
        <w:t xml:space="preserve"> </w:t>
      </w:r>
      <w:r w:rsidRPr="005F2E60">
        <w:rPr>
          <w:color w:val="010000"/>
        </w:rPr>
        <w:t>364,60 TL harçtan oluşan yargılama giderinin başvurucuya ÖDENMESİNE,</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D.</w:t>
      </w:r>
      <w:r w:rsidR="005F2E60" w:rsidRPr="005F2E60">
        <w:rPr>
          <w:color w:val="010000"/>
        </w:rPr>
        <w:t xml:space="preserve"> </w:t>
      </w:r>
      <w:r w:rsidRPr="005F2E60">
        <w:rPr>
          <w:color w:val="010000"/>
        </w:rPr>
        <w:t>Maddi tazminat talebinin REDDİNE,</w:t>
      </w:r>
    </w:p>
    <w:p w:rsidR="00580097" w:rsidRPr="005F2E60" w:rsidRDefault="00F54683" w:rsidP="005F2E60">
      <w:pPr>
        <w:widowControl/>
        <w:suppressAutoHyphens w:val="0"/>
        <w:spacing w:after="200"/>
        <w:ind w:left="283" w:right="283" w:firstLine="567"/>
        <w:jc w:val="both"/>
        <w:rPr>
          <w:color w:val="010000"/>
        </w:rPr>
      </w:pPr>
      <w:r w:rsidRPr="005F2E60">
        <w:rPr>
          <w:color w:val="010000"/>
          <w:sz w:val="22"/>
        </w:rPr>
        <w:t>E</w:t>
      </w:r>
      <w:r w:rsidRPr="005F2E60">
        <w:rPr>
          <w:color w:val="010000"/>
        </w:rPr>
        <w:t>.</w:t>
      </w:r>
      <w:r w:rsidR="005F2E60" w:rsidRPr="005F2E60">
        <w:rPr>
          <w:color w:val="010000"/>
        </w:rPr>
        <w:t xml:space="preserve"> </w:t>
      </w:r>
      <w:r w:rsidRPr="005F2E60">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w:t>
      </w:r>
      <w:bookmarkStart w:id="0" w:name="_GoBack"/>
      <w:bookmarkEnd w:id="0"/>
      <w:r w:rsidRPr="005F2E60">
        <w:rPr>
          <w:color w:val="010000"/>
        </w:rPr>
        <w:t>SINA,</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F.</w:t>
      </w:r>
      <w:r w:rsidR="005F2E60" w:rsidRPr="005F2E60">
        <w:rPr>
          <w:color w:val="010000"/>
        </w:rPr>
        <w:t xml:space="preserve"> </w:t>
      </w:r>
      <w:r w:rsidRPr="005F2E60">
        <w:rPr>
          <w:color w:val="010000"/>
        </w:rPr>
        <w:t xml:space="preserve">Kararın bir örneğinin bilgi için Trabzon İdare Mahkemesine (E:2012/729; K:2013/23) GÖNDERİLMESİNE, </w:t>
      </w:r>
    </w:p>
    <w:p w:rsidR="00580097" w:rsidRPr="005F2E60" w:rsidRDefault="00F54683" w:rsidP="005F2E60">
      <w:pPr>
        <w:widowControl/>
        <w:suppressAutoHyphens w:val="0"/>
        <w:spacing w:after="200"/>
        <w:ind w:left="283" w:right="283" w:firstLine="567"/>
        <w:jc w:val="both"/>
        <w:rPr>
          <w:color w:val="010000"/>
        </w:rPr>
      </w:pPr>
      <w:r w:rsidRPr="005F2E60">
        <w:rPr>
          <w:color w:val="010000"/>
        </w:rPr>
        <w:t>G.</w:t>
      </w:r>
      <w:r w:rsidR="005F2E60" w:rsidRPr="005F2E60">
        <w:rPr>
          <w:color w:val="010000"/>
        </w:rPr>
        <w:t xml:space="preserve"> </w:t>
      </w:r>
      <w:r w:rsidRPr="005F2E60">
        <w:rPr>
          <w:color w:val="010000"/>
        </w:rPr>
        <w:t>Kararın bir örneğinin Adalet Bakanlığına GÖNDERİLMESİNE 15/5/2020 tarihinde OYBİRLİĞİYLE karar verildi.</w:t>
      </w:r>
    </w:p>
    <w:sectPr w:rsidR="00580097" w:rsidRPr="005F2E60" w:rsidSect="005F2E60">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44A6" w:rsidRDefault="006F44A6">
      <w:r>
        <w:separator/>
      </w:r>
    </w:p>
  </w:endnote>
  <w:endnote w:type="continuationSeparator" w:id="0">
    <w:p w:rsidR="006F44A6" w:rsidRDefault="006F4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0097" w:rsidRDefault="00F54683">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580097" w:rsidRDefault="00580097">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44A6" w:rsidRDefault="006F44A6">
      <w:r>
        <w:separator/>
      </w:r>
    </w:p>
  </w:footnote>
  <w:footnote w:type="continuationSeparator" w:id="0">
    <w:p w:rsidR="006F44A6" w:rsidRDefault="006F44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0097" w:rsidRDefault="00F54683">
    <w:pPr>
      <w:pStyle w:val="stBilgi"/>
      <w:tabs>
        <w:tab w:val="left" w:pos="2020"/>
      </w:tabs>
      <w:spacing w:line="288" w:lineRule="exact"/>
    </w:pPr>
    <w:r>
      <w:t>Başvuru Numarası</w:t>
    </w:r>
    <w:r>
      <w:tab/>
      <w:t>: 2019/7746</w:t>
    </w:r>
  </w:p>
  <w:p w:rsidR="00580097" w:rsidRDefault="00F54683" w:rsidP="005F2E60">
    <w:pPr>
      <w:pStyle w:val="stBilgi"/>
      <w:tabs>
        <w:tab w:val="left" w:pos="2020"/>
      </w:tabs>
      <w:spacing w:line="288" w:lineRule="exact"/>
    </w:pPr>
    <w:r>
      <w:t>Karar Tarihi</w:t>
    </w:r>
    <w:r>
      <w:tab/>
      <w:t>: 15/5/2020</w:t>
    </w:r>
  </w:p>
  <w:p w:rsidR="005F2E60" w:rsidRDefault="005F2E60" w:rsidP="005F2E60">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881"/>
    <w:rsid w:val="00531881"/>
    <w:rsid w:val="00580097"/>
    <w:rsid w:val="005F2E60"/>
    <w:rsid w:val="006F44A6"/>
    <w:rsid w:val="00E5721D"/>
    <w:rsid w:val="00F5468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CBAB42F"/>
  <w15:chartTrackingRefBased/>
  <w15:docId w15:val="{D5385D9C-A730-4EA8-82F1-102EA6A6E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52452519923">
    <w:name w:val="edf_1352452519923"/>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958</Words>
  <Characters>5464</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4</cp:revision>
  <cp:lastPrinted>1995-11-21T14:41:00Z</cp:lastPrinted>
  <dcterms:created xsi:type="dcterms:W3CDTF">2020-05-29T14:05:00Z</dcterms:created>
  <dcterms:modified xsi:type="dcterms:W3CDTF">2020-06-04T10:22:00Z</dcterms:modified>
</cp:coreProperties>
</file>