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E5187" w:rsidRDefault="00EE5187" w:rsidP="00EE5187">
      <w:pPr>
        <w:widowControl/>
        <w:suppressAutoHyphens w:val="0"/>
        <w:spacing w:after="200"/>
        <w:ind w:left="283" w:right="283" w:firstLine="567"/>
        <w:jc w:val="both"/>
        <w:rPr>
          <w:b/>
          <w:color w:val="010000"/>
          <w:sz w:val="28"/>
        </w:rPr>
      </w:pPr>
    </w:p>
    <w:p w:rsidR="00EE5187" w:rsidRDefault="00EE5187" w:rsidP="00EE5187">
      <w:pPr>
        <w:widowControl/>
        <w:suppressAutoHyphens w:val="0"/>
        <w:spacing w:after="200"/>
        <w:ind w:left="283" w:right="283" w:firstLine="567"/>
        <w:jc w:val="both"/>
        <w:rPr>
          <w:b/>
          <w:color w:val="010000"/>
          <w:sz w:val="28"/>
        </w:rPr>
      </w:pPr>
    </w:p>
    <w:p w:rsidR="00EE5187" w:rsidRDefault="00EE5187" w:rsidP="00EE5187">
      <w:pPr>
        <w:widowControl/>
        <w:suppressAutoHyphens w:val="0"/>
        <w:spacing w:after="200"/>
        <w:ind w:left="283" w:right="283" w:firstLine="567"/>
        <w:jc w:val="both"/>
        <w:rPr>
          <w:b/>
          <w:color w:val="010000"/>
          <w:sz w:val="28"/>
        </w:rPr>
      </w:pPr>
    </w:p>
    <w:p w:rsidR="00EE5187" w:rsidRDefault="00EE5187" w:rsidP="00EE5187">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sz w:val="28"/>
              </w:rPr>
            </w:pPr>
            <w:r>
              <w:rPr>
                <w:b/>
                <w:color w:val="010000"/>
                <w:sz w:val="28"/>
              </w:rPr>
              <w:t>TÜRKİYE CUMHURİYETİ</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sz w:val="32"/>
              </w:rPr>
            </w:pPr>
            <w:r>
              <w:rPr>
                <w:b/>
                <w:color w:val="010000"/>
                <w:sz w:val="32"/>
              </w:rPr>
              <w:t>ANAYASA MAHKEMESİ</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r>
              <w:rPr>
                <w:b/>
                <w:color w:val="010000"/>
              </w:rPr>
              <w:t>BİRİNCİ BÖLÜM</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r>
              <w:rPr>
                <w:b/>
                <w:color w:val="010000"/>
              </w:rPr>
              <w:t>KARAR</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r>
              <w:rPr>
                <w:b/>
                <w:color w:val="010000"/>
              </w:rPr>
              <w:t>LEYLA KÜRTÜL VE DİĞERLERİ BAŞVURUSU</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color w:val="010000"/>
              </w:rPr>
            </w:pPr>
            <w:r>
              <w:rPr>
                <w:color w:val="010000"/>
              </w:rPr>
              <w:t>(Başvuru Numarası: 2019/8193)</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color w:val="010000"/>
              </w:rPr>
            </w:pPr>
            <w:r>
              <w:rPr>
                <w:color w:val="010000"/>
              </w:rPr>
              <w:t>Karar Tarihi: 20/12/2022</w:t>
            </w: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r w:rsidR="00EE5187" w:rsidRPr="00EE5187" w:rsidTr="00EE5187">
        <w:tblPrEx>
          <w:tblCellMar>
            <w:top w:w="0" w:type="dxa"/>
            <w:bottom w:w="0" w:type="dxa"/>
          </w:tblCellMar>
        </w:tblPrEx>
        <w:trPr>
          <w:trHeight w:val="500"/>
          <w:jc w:val="center"/>
        </w:trPr>
        <w:tc>
          <w:tcPr>
            <w:tcW w:w="9212" w:type="dxa"/>
            <w:vAlign w:val="center"/>
          </w:tcPr>
          <w:p w:rsidR="00EE5187" w:rsidRPr="00EE5187" w:rsidRDefault="00EE5187" w:rsidP="00EE5187">
            <w:pPr>
              <w:widowControl/>
              <w:suppressAutoHyphens w:val="0"/>
              <w:spacing w:after="200"/>
              <w:ind w:right="283"/>
              <w:jc w:val="center"/>
              <w:rPr>
                <w:b/>
                <w:color w:val="010000"/>
              </w:rPr>
            </w:pPr>
          </w:p>
        </w:tc>
      </w:tr>
    </w:tbl>
    <w:p w:rsidR="00EE5187" w:rsidRDefault="00EE5187" w:rsidP="00EE5187">
      <w:pPr>
        <w:widowControl/>
        <w:suppressAutoHyphens w:val="0"/>
        <w:spacing w:after="200"/>
        <w:ind w:left="283" w:right="283" w:firstLine="567"/>
        <w:jc w:val="both"/>
        <w:rPr>
          <w:b/>
          <w:color w:val="010000"/>
        </w:rPr>
        <w:sectPr w:rsidR="00EE5187" w:rsidSect="00EE5187">
          <w:headerReference w:type="default" r:id="rId6"/>
          <w:footerReference w:type="default" r:id="rId7"/>
          <w:pgSz w:w="11906" w:h="16838"/>
          <w:pgMar w:top="976" w:right="1417" w:bottom="941" w:left="1417" w:header="400" w:footer="400" w:gutter="0"/>
          <w:cols w:space="708"/>
          <w:titlePg/>
          <w:docGrid w:linePitch="326"/>
        </w:sectPr>
      </w:pPr>
    </w:p>
    <w:p w:rsidR="003D1E95" w:rsidRPr="00EE5187" w:rsidRDefault="003D1E95" w:rsidP="00EE5187">
      <w:pPr>
        <w:widowControl/>
        <w:suppressAutoHyphens w:val="0"/>
        <w:spacing w:after="200"/>
        <w:ind w:left="283" w:right="283" w:firstLine="1"/>
        <w:jc w:val="center"/>
        <w:rPr>
          <w:color w:val="010000"/>
        </w:rPr>
      </w:pPr>
      <w:r w:rsidRPr="00EE5187">
        <w:rPr>
          <w:b/>
          <w:color w:val="010000"/>
        </w:rPr>
        <w:lastRenderedPageBreak/>
        <w:t>BİRİNCİ BÖLÜM</w:t>
      </w:r>
    </w:p>
    <w:p w:rsidR="003D1E95" w:rsidRPr="00EE5187" w:rsidRDefault="003D1E95" w:rsidP="00EE5187">
      <w:pPr>
        <w:widowControl/>
        <w:suppressAutoHyphens w:val="0"/>
        <w:spacing w:after="200"/>
        <w:ind w:left="283" w:right="283" w:firstLine="1"/>
        <w:jc w:val="center"/>
        <w:rPr>
          <w:color w:val="010000"/>
        </w:rPr>
      </w:pPr>
      <w:r w:rsidRPr="00EE5187">
        <w:rPr>
          <w:b/>
          <w:color w:val="010000"/>
        </w:rPr>
        <w:t>KARAR</w:t>
      </w:r>
    </w:p>
    <w:p w:rsidR="00EE5187" w:rsidRDefault="00EE5187" w:rsidP="00EE5187">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r w:rsidRPr="00EE5187">
              <w:rPr>
                <w:b/>
                <w:color w:val="010000"/>
              </w:rPr>
              <w:t>Başkan</w:t>
            </w:r>
          </w:p>
        </w:tc>
        <w:tc>
          <w:tcPr>
            <w:tcW w:w="200" w:type="dxa"/>
          </w:tcPr>
          <w:p w:rsidR="00EE5187" w:rsidRPr="00EE5187" w:rsidRDefault="00EE5187" w:rsidP="00EE5187">
            <w:pPr>
              <w:widowControl/>
              <w:suppressAutoHyphens w:val="0"/>
              <w:rPr>
                <w:b/>
                <w:color w:val="010000"/>
              </w:rPr>
            </w:pPr>
            <w:r w:rsidRPr="00EE5187">
              <w:rPr>
                <w:b/>
                <w:color w:val="010000"/>
              </w:rPr>
              <w:t>:</w:t>
            </w:r>
          </w:p>
        </w:tc>
        <w:tc>
          <w:tcPr>
            <w:tcW w:w="5400" w:type="dxa"/>
          </w:tcPr>
          <w:p w:rsidR="00EE5187" w:rsidRPr="00EE5187" w:rsidRDefault="00EE5187" w:rsidP="00EE5187">
            <w:pPr>
              <w:widowControl/>
              <w:suppressAutoHyphens w:val="0"/>
              <w:rPr>
                <w:color w:val="010000"/>
              </w:rPr>
            </w:pPr>
            <w:r w:rsidRPr="00EE5187">
              <w:rPr>
                <w:color w:val="010000"/>
              </w:rPr>
              <w:t>Hasan Tahsin GÖKCAN</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r w:rsidRPr="00EE5187">
              <w:rPr>
                <w:b/>
                <w:color w:val="010000"/>
              </w:rPr>
              <w:t>Üyeler</w:t>
            </w:r>
          </w:p>
        </w:tc>
        <w:tc>
          <w:tcPr>
            <w:tcW w:w="200" w:type="dxa"/>
          </w:tcPr>
          <w:p w:rsidR="00EE5187" w:rsidRPr="00EE5187" w:rsidRDefault="00EE5187" w:rsidP="00EE5187">
            <w:pPr>
              <w:widowControl/>
              <w:suppressAutoHyphens w:val="0"/>
              <w:rPr>
                <w:b/>
                <w:color w:val="010000"/>
              </w:rPr>
            </w:pPr>
            <w:r w:rsidRPr="00EE5187">
              <w:rPr>
                <w:b/>
                <w:color w:val="010000"/>
              </w:rPr>
              <w:t>:</w:t>
            </w:r>
          </w:p>
        </w:tc>
        <w:tc>
          <w:tcPr>
            <w:tcW w:w="5400" w:type="dxa"/>
          </w:tcPr>
          <w:p w:rsidR="00EE5187" w:rsidRPr="00EE5187" w:rsidRDefault="00EE5187" w:rsidP="00EE5187">
            <w:pPr>
              <w:widowControl/>
              <w:suppressAutoHyphens w:val="0"/>
              <w:rPr>
                <w:color w:val="010000"/>
              </w:rPr>
            </w:pPr>
            <w:r w:rsidRPr="00EE5187">
              <w:rPr>
                <w:color w:val="010000"/>
              </w:rPr>
              <w:t>Recai AKYEL</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p>
        </w:tc>
        <w:tc>
          <w:tcPr>
            <w:tcW w:w="200" w:type="dxa"/>
          </w:tcPr>
          <w:p w:rsidR="00EE5187" w:rsidRPr="00EE5187" w:rsidRDefault="00EE5187" w:rsidP="00EE5187">
            <w:pPr>
              <w:widowControl/>
              <w:suppressAutoHyphens w:val="0"/>
              <w:rPr>
                <w:b/>
                <w:color w:val="010000"/>
              </w:rPr>
            </w:pPr>
          </w:p>
        </w:tc>
        <w:tc>
          <w:tcPr>
            <w:tcW w:w="5400" w:type="dxa"/>
          </w:tcPr>
          <w:p w:rsidR="00EE5187" w:rsidRPr="00EE5187" w:rsidRDefault="00EE5187" w:rsidP="00EE5187">
            <w:pPr>
              <w:widowControl/>
              <w:suppressAutoHyphens w:val="0"/>
              <w:rPr>
                <w:color w:val="010000"/>
              </w:rPr>
            </w:pPr>
            <w:r w:rsidRPr="00EE5187">
              <w:rPr>
                <w:color w:val="010000"/>
              </w:rPr>
              <w:t>Selahaddin MENTEŞ</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p>
        </w:tc>
        <w:tc>
          <w:tcPr>
            <w:tcW w:w="200" w:type="dxa"/>
          </w:tcPr>
          <w:p w:rsidR="00EE5187" w:rsidRPr="00EE5187" w:rsidRDefault="00EE5187" w:rsidP="00EE5187">
            <w:pPr>
              <w:widowControl/>
              <w:suppressAutoHyphens w:val="0"/>
              <w:rPr>
                <w:b/>
                <w:color w:val="010000"/>
              </w:rPr>
            </w:pPr>
          </w:p>
        </w:tc>
        <w:tc>
          <w:tcPr>
            <w:tcW w:w="5400" w:type="dxa"/>
          </w:tcPr>
          <w:p w:rsidR="00EE5187" w:rsidRPr="00EE5187" w:rsidRDefault="00EE5187" w:rsidP="00EE5187">
            <w:pPr>
              <w:widowControl/>
              <w:suppressAutoHyphens w:val="0"/>
              <w:rPr>
                <w:color w:val="010000"/>
              </w:rPr>
            </w:pPr>
            <w:r w:rsidRPr="00EE5187">
              <w:rPr>
                <w:color w:val="010000"/>
              </w:rPr>
              <w:t>İrfan FİDAN</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p>
        </w:tc>
        <w:tc>
          <w:tcPr>
            <w:tcW w:w="200" w:type="dxa"/>
          </w:tcPr>
          <w:p w:rsidR="00EE5187" w:rsidRPr="00EE5187" w:rsidRDefault="00EE5187" w:rsidP="00EE5187">
            <w:pPr>
              <w:widowControl/>
              <w:suppressAutoHyphens w:val="0"/>
              <w:rPr>
                <w:b/>
                <w:color w:val="010000"/>
              </w:rPr>
            </w:pPr>
          </w:p>
        </w:tc>
        <w:tc>
          <w:tcPr>
            <w:tcW w:w="5400" w:type="dxa"/>
          </w:tcPr>
          <w:p w:rsidR="00EE5187" w:rsidRPr="00EE5187" w:rsidRDefault="00EE5187" w:rsidP="00EE5187">
            <w:pPr>
              <w:widowControl/>
              <w:suppressAutoHyphens w:val="0"/>
              <w:rPr>
                <w:color w:val="010000"/>
              </w:rPr>
            </w:pPr>
            <w:r w:rsidRPr="00EE5187">
              <w:rPr>
                <w:color w:val="010000"/>
              </w:rPr>
              <w:t>Muhterem İNCE</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r w:rsidRPr="00EE5187">
              <w:rPr>
                <w:b/>
                <w:color w:val="010000"/>
              </w:rPr>
              <w:t>Raportör</w:t>
            </w:r>
          </w:p>
        </w:tc>
        <w:tc>
          <w:tcPr>
            <w:tcW w:w="200" w:type="dxa"/>
          </w:tcPr>
          <w:p w:rsidR="00EE5187" w:rsidRPr="00EE5187" w:rsidRDefault="00EE5187" w:rsidP="00EE5187">
            <w:pPr>
              <w:widowControl/>
              <w:suppressAutoHyphens w:val="0"/>
              <w:rPr>
                <w:b/>
                <w:color w:val="010000"/>
              </w:rPr>
            </w:pPr>
            <w:r w:rsidRPr="00EE5187">
              <w:rPr>
                <w:b/>
                <w:color w:val="010000"/>
              </w:rPr>
              <w:t>:</w:t>
            </w:r>
          </w:p>
        </w:tc>
        <w:tc>
          <w:tcPr>
            <w:tcW w:w="5400" w:type="dxa"/>
          </w:tcPr>
          <w:p w:rsidR="00EE5187" w:rsidRPr="00EE5187" w:rsidRDefault="00EE5187" w:rsidP="00EE5187">
            <w:pPr>
              <w:widowControl/>
              <w:suppressAutoHyphens w:val="0"/>
              <w:rPr>
                <w:color w:val="010000"/>
              </w:rPr>
            </w:pPr>
            <w:r w:rsidRPr="00EE5187">
              <w:rPr>
                <w:color w:val="010000"/>
              </w:rPr>
              <w:t>Hilmi Can TURAN</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r w:rsidRPr="00EE5187">
              <w:rPr>
                <w:b/>
                <w:color w:val="010000"/>
              </w:rPr>
              <w:t>Başvurucular</w:t>
            </w:r>
          </w:p>
        </w:tc>
        <w:tc>
          <w:tcPr>
            <w:tcW w:w="200" w:type="dxa"/>
          </w:tcPr>
          <w:p w:rsidR="00EE5187" w:rsidRPr="00EE5187" w:rsidRDefault="00EE5187" w:rsidP="00EE5187">
            <w:pPr>
              <w:widowControl/>
              <w:suppressAutoHyphens w:val="0"/>
              <w:rPr>
                <w:b/>
                <w:color w:val="010000"/>
              </w:rPr>
            </w:pPr>
            <w:r w:rsidRPr="00EE5187">
              <w:rPr>
                <w:b/>
                <w:color w:val="010000"/>
              </w:rPr>
              <w:t>:</w:t>
            </w:r>
          </w:p>
        </w:tc>
        <w:tc>
          <w:tcPr>
            <w:tcW w:w="5400" w:type="dxa"/>
          </w:tcPr>
          <w:p w:rsidR="00EE5187" w:rsidRPr="00EE5187" w:rsidRDefault="00EE5187" w:rsidP="00EE5187">
            <w:pPr>
              <w:widowControl/>
              <w:suppressAutoHyphens w:val="0"/>
              <w:rPr>
                <w:color w:val="010000"/>
              </w:rPr>
            </w:pPr>
            <w:r w:rsidRPr="00EE5187">
              <w:rPr>
                <w:color w:val="010000"/>
              </w:rPr>
              <w:t>Leyla KÜRTÜL ve diğerleri (bkz. ekli tablo)</w:t>
            </w:r>
          </w:p>
        </w:tc>
      </w:tr>
      <w:tr w:rsidR="00EE5187" w:rsidRPr="00EE5187" w:rsidTr="00EE5187">
        <w:tblPrEx>
          <w:tblCellMar>
            <w:top w:w="0" w:type="dxa"/>
            <w:bottom w:w="0" w:type="dxa"/>
          </w:tblCellMar>
        </w:tblPrEx>
        <w:trPr>
          <w:trHeight w:val="454"/>
        </w:trPr>
        <w:tc>
          <w:tcPr>
            <w:tcW w:w="2400" w:type="dxa"/>
          </w:tcPr>
          <w:p w:rsidR="00EE5187" w:rsidRPr="00EE5187" w:rsidRDefault="00EE5187" w:rsidP="00EE5187">
            <w:pPr>
              <w:widowControl/>
              <w:suppressAutoHyphens w:val="0"/>
              <w:rPr>
                <w:b/>
                <w:color w:val="010000"/>
              </w:rPr>
            </w:pPr>
            <w:r w:rsidRPr="00EE5187">
              <w:rPr>
                <w:b/>
                <w:color w:val="010000"/>
              </w:rPr>
              <w:t>Vekilleri</w:t>
            </w:r>
          </w:p>
        </w:tc>
        <w:tc>
          <w:tcPr>
            <w:tcW w:w="200" w:type="dxa"/>
          </w:tcPr>
          <w:p w:rsidR="00EE5187" w:rsidRPr="00EE5187" w:rsidRDefault="00EE5187" w:rsidP="00EE5187">
            <w:pPr>
              <w:widowControl/>
              <w:suppressAutoHyphens w:val="0"/>
              <w:rPr>
                <w:b/>
                <w:color w:val="010000"/>
              </w:rPr>
            </w:pPr>
            <w:r w:rsidRPr="00EE5187">
              <w:rPr>
                <w:b/>
                <w:color w:val="010000"/>
              </w:rPr>
              <w:t>:</w:t>
            </w:r>
          </w:p>
        </w:tc>
        <w:tc>
          <w:tcPr>
            <w:tcW w:w="5400" w:type="dxa"/>
          </w:tcPr>
          <w:p w:rsidR="00EE5187" w:rsidRPr="00EE5187" w:rsidRDefault="00EE5187" w:rsidP="00EE5187">
            <w:pPr>
              <w:widowControl/>
              <w:suppressAutoHyphens w:val="0"/>
              <w:rPr>
                <w:color w:val="010000"/>
              </w:rPr>
            </w:pPr>
            <w:r w:rsidRPr="00EE5187">
              <w:rPr>
                <w:color w:val="010000"/>
              </w:rPr>
              <w:t>bkz. ekli tablonun (E) sütunu</w:t>
            </w:r>
          </w:p>
        </w:tc>
      </w:tr>
    </w:tbl>
    <w:p w:rsidR="00EE5187" w:rsidRDefault="00EE5187" w:rsidP="00EE5187">
      <w:pPr>
        <w:widowControl/>
        <w:suppressAutoHyphens w:val="0"/>
        <w:spacing w:after="200"/>
        <w:ind w:left="283" w:right="283" w:firstLine="567"/>
        <w:jc w:val="both"/>
        <w:rPr>
          <w:b/>
          <w:color w:val="010000"/>
        </w:rPr>
      </w:pPr>
    </w:p>
    <w:p w:rsidR="003D1E95" w:rsidRPr="00EE5187" w:rsidRDefault="003D1E95" w:rsidP="00EE5187">
      <w:pPr>
        <w:widowControl/>
        <w:suppressAutoHyphens w:val="0"/>
        <w:spacing w:after="200"/>
        <w:ind w:left="283" w:right="283" w:firstLine="567"/>
        <w:jc w:val="both"/>
        <w:rPr>
          <w:color w:val="010000"/>
        </w:rPr>
      </w:pPr>
      <w:r w:rsidRPr="00EE5187">
        <w:rPr>
          <w:b/>
          <w:color w:val="010000"/>
        </w:rPr>
        <w:t>I.</w:t>
      </w:r>
      <w:r w:rsidR="00EE5187" w:rsidRPr="00EE5187">
        <w:rPr>
          <w:color w:val="010000"/>
        </w:rPr>
        <w:t xml:space="preserve"> </w:t>
      </w:r>
      <w:r w:rsidRPr="00EE5187">
        <w:rPr>
          <w:b/>
          <w:color w:val="010000"/>
        </w:rPr>
        <w:t>BAŞVURUNUN ÖZETİ</w:t>
      </w:r>
    </w:p>
    <w:p w:rsidR="003D1E95" w:rsidRPr="00EE5187" w:rsidRDefault="003D1E95" w:rsidP="00EE5187">
      <w:pPr>
        <w:pStyle w:val="edf1450279197849"/>
        <w:widowControl/>
        <w:suppressAutoHyphens w:val="0"/>
        <w:spacing w:after="200"/>
        <w:ind w:left="283" w:right="283" w:firstLine="567"/>
        <w:jc w:val="both"/>
        <w:rPr>
          <w:rFonts w:cs="Times New Roman"/>
          <w:color w:val="010000"/>
        </w:rPr>
      </w:pPr>
      <w:r w:rsidRPr="00EE5187">
        <w:rPr>
          <w:rFonts w:cs="Times New Roman"/>
          <w:color w:val="010000"/>
        </w:rPr>
        <w:t>1.</w:t>
      </w:r>
      <w:r w:rsidR="00EE5187" w:rsidRPr="00EE5187">
        <w:rPr>
          <w:rFonts w:cs="Times New Roman"/>
          <w:color w:val="010000"/>
        </w:rPr>
        <w:t xml:space="preserve"> </w:t>
      </w:r>
      <w:r w:rsidRPr="00EE5187">
        <w:rPr>
          <w:rFonts w:cs="Times New Roman"/>
          <w:color w:val="010000"/>
        </w:rPr>
        <w:t>Başvurular, davanın uzun sürmesi nedeniyle makul sürede yargılanma hakkının ihlal edildiği iddiasına ilişkindir. Başvurular, süresi içinde yapılmıştır. Başvuruların kabul edilebilirlik incelemesinin Bölüm tarafından yapılmasına karar verilmiştir. Ekli tabloda yer alan başvurular bu başvuru ile birleştirilmiştir.</w:t>
      </w:r>
    </w:p>
    <w:p w:rsidR="003D1E95" w:rsidRPr="00EE5187" w:rsidRDefault="003D1E95" w:rsidP="00EE5187">
      <w:pPr>
        <w:widowControl/>
        <w:suppressAutoHyphens w:val="0"/>
        <w:spacing w:after="200"/>
        <w:ind w:left="283" w:right="283" w:firstLine="567"/>
        <w:jc w:val="both"/>
        <w:rPr>
          <w:color w:val="010000"/>
        </w:rPr>
      </w:pPr>
      <w:r w:rsidRPr="00EE5187">
        <w:rPr>
          <w:b/>
          <w:color w:val="010000"/>
        </w:rPr>
        <w:t>II.</w:t>
      </w:r>
      <w:r w:rsidR="00EE5187" w:rsidRPr="00EE5187">
        <w:rPr>
          <w:color w:val="010000"/>
        </w:rPr>
        <w:t xml:space="preserve"> </w:t>
      </w:r>
      <w:r w:rsidRPr="00EE5187">
        <w:rPr>
          <w:b/>
          <w:color w:val="010000"/>
        </w:rPr>
        <w:t>DEĞERLENDİRME</w:t>
      </w:r>
    </w:p>
    <w:p w:rsidR="003D1E95" w:rsidRPr="00EE5187" w:rsidRDefault="003D1E95" w:rsidP="00EE5187">
      <w:pPr>
        <w:widowControl/>
        <w:suppressAutoHyphens w:val="0"/>
        <w:spacing w:after="200"/>
        <w:ind w:left="283" w:right="283" w:firstLine="567"/>
        <w:jc w:val="both"/>
        <w:rPr>
          <w:color w:val="010000"/>
        </w:rPr>
      </w:pPr>
      <w:r w:rsidRPr="00EE5187">
        <w:rPr>
          <w:b/>
          <w:color w:val="010000"/>
        </w:rPr>
        <w:t>A.</w:t>
      </w:r>
      <w:r w:rsidR="00EE5187" w:rsidRPr="00EE5187">
        <w:rPr>
          <w:color w:val="010000"/>
        </w:rPr>
        <w:t xml:space="preserve"> </w:t>
      </w:r>
      <w:r w:rsidRPr="00EE5187">
        <w:rPr>
          <w:b/>
          <w:color w:val="010000"/>
        </w:rPr>
        <w:t>Makul Sürede Yargılanma Hakkının İhlal Edildiğine İlişkin İddia</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2.</w:t>
      </w:r>
      <w:r w:rsidR="00EE5187" w:rsidRPr="00EE5187">
        <w:rPr>
          <w:color w:val="010000"/>
        </w:rPr>
        <w:t xml:space="preserve"> </w:t>
      </w:r>
      <w:r w:rsidRPr="00EE5187">
        <w:rPr>
          <w:color w:val="010000"/>
        </w:rPr>
        <w:t xml:space="preserve">Anayasa Mahkemesi, hukuk davalarında makul sürede yargılanma hakkının ihlali iddiasıyla yapılan başvurularda </w:t>
      </w:r>
      <w:r w:rsidRPr="00EE5187">
        <w:rPr>
          <w:i/>
          <w:iCs/>
          <w:color w:val="010000"/>
        </w:rPr>
        <w:t>Güher Ergun ve diğerleri</w:t>
      </w:r>
      <w:r w:rsidRPr="00EE5187">
        <w:rPr>
          <w:color w:val="010000"/>
        </w:rPr>
        <w:t xml:space="preserve"> (B. No: 2012/13, 2/7/2013), idari davalar yönünden </w:t>
      </w:r>
      <w:r w:rsidRPr="00EE5187">
        <w:rPr>
          <w:i/>
          <w:iCs/>
          <w:color w:val="010000"/>
        </w:rPr>
        <w:t xml:space="preserve">Selahattin Akyıl </w:t>
      </w:r>
      <w:r w:rsidRPr="00EE5187">
        <w:rPr>
          <w:color w:val="010000"/>
        </w:rPr>
        <w:t xml:space="preserve">(B. No: 2012/1198, 7/11/2013), ceza davaları yönünden de </w:t>
      </w:r>
      <w:r w:rsidRPr="00EE5187">
        <w:rPr>
          <w:i/>
          <w:iCs/>
          <w:color w:val="010000"/>
        </w:rPr>
        <w:t xml:space="preserve">B.E. </w:t>
      </w:r>
      <w:r w:rsidRPr="00EE5187">
        <w:rPr>
          <w:color w:val="010000"/>
        </w:rPr>
        <w:t xml:space="preserve">(B. No: 2012/625, 9/1/2014) ve </w:t>
      </w:r>
      <w:r w:rsidRPr="00EE5187">
        <w:rPr>
          <w:i/>
          <w:iCs/>
          <w:color w:val="010000"/>
        </w:rPr>
        <w:t xml:space="preserve">Nevriye </w:t>
      </w:r>
      <w:proofErr w:type="spellStart"/>
      <w:r w:rsidRPr="00EE5187">
        <w:rPr>
          <w:i/>
          <w:iCs/>
          <w:color w:val="010000"/>
        </w:rPr>
        <w:t>Kuruç</w:t>
      </w:r>
      <w:proofErr w:type="spellEnd"/>
      <w:r w:rsidRPr="00EE5187">
        <w:rPr>
          <w:color w:val="010000"/>
        </w:rPr>
        <w:t xml:space="preserve"> ([GK], B. No: 2021/58970, 5/7/2022) kararlarında bütün ilkeleri ortaya koymuş; makul sürede yargılanma hakkının ihlal edildiği sonucuna ulaşmıştır. Somut başvuruda, anılan kararlarda açıklanan ilkelerden ve ulaşılan sonuçtan ayrılmayı gerektiren bir durum bulunmamaktadır. Bu doğrultuda başvurucuların Anayasa'nın 36. maddesinde güvence altına alınan makul sürede yargılanma haklarının ihlal edildiğine karar verilmesi gerekir.</w:t>
      </w:r>
    </w:p>
    <w:p w:rsidR="003D1E95" w:rsidRPr="00EE5187" w:rsidRDefault="003D1E95" w:rsidP="00EE5187">
      <w:pPr>
        <w:widowControl/>
        <w:suppressAutoHyphens w:val="0"/>
        <w:spacing w:after="200"/>
        <w:ind w:left="283" w:right="283" w:firstLine="567"/>
        <w:jc w:val="both"/>
        <w:rPr>
          <w:color w:val="010000"/>
        </w:rPr>
      </w:pPr>
      <w:r w:rsidRPr="00EE5187">
        <w:rPr>
          <w:b/>
          <w:color w:val="010000"/>
        </w:rPr>
        <w:t>B.</w:t>
      </w:r>
      <w:r w:rsidR="00EE5187" w:rsidRPr="00EE5187">
        <w:rPr>
          <w:color w:val="010000"/>
        </w:rPr>
        <w:t xml:space="preserve"> </w:t>
      </w:r>
      <w:r w:rsidRPr="00EE5187">
        <w:rPr>
          <w:b/>
          <w:color w:val="010000"/>
        </w:rPr>
        <w:t>Diğer İhlal İddiaları</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3.</w:t>
      </w:r>
      <w:r w:rsidR="00EE5187" w:rsidRPr="00EE5187">
        <w:rPr>
          <w:color w:val="010000"/>
        </w:rPr>
        <w:t xml:space="preserve"> </w:t>
      </w:r>
      <w:r w:rsidRPr="00EE5187">
        <w:rPr>
          <w:color w:val="010000"/>
        </w:rPr>
        <w:t xml:space="preserve">Başvurucuların bir kısmı, makul sürede yargılanma hakkının yanı sıra Anayasa'da güvence altına alınan diğer hak ve özgürlüklerinin ihlal edildiğini ileri sürmüştür. Başvurucuların iddiaları Anayasa Mahkemesinin bireysel başvuru inceleme yetkisine girdiği ölçüde ve sunulan belgeler çerçevesinde değerlendirildiğinde başvurucuların temel hak ve özgürlüklerinin ihlal edildiğine ilişkin iddialarının 30/3/2011 tarihli ve 6216 sayılı Anayasa Mahkemesinin Kuruluşu ve Yargılama Usulleri Hakkında Kanun'da düzenlenen diğer kabul edilebilirlik kriterlerini karşılamadığı anlaşılmıştır. Açıklanan gerekçeyle başvurunun bu kısmının </w:t>
      </w:r>
      <w:r w:rsidRPr="00EE5187">
        <w:rPr>
          <w:i/>
          <w:iCs/>
          <w:color w:val="010000"/>
        </w:rPr>
        <w:t>kabul edilebilirlik kriterlerini karşılamaması</w:t>
      </w:r>
      <w:r w:rsidRPr="00EE5187">
        <w:rPr>
          <w:color w:val="010000"/>
        </w:rPr>
        <w:t xml:space="preserve"> nedeniyle kabul edilemez olduğuna karar verilmesi gerekir.</w:t>
      </w:r>
    </w:p>
    <w:p w:rsidR="003D1E95" w:rsidRPr="00EE5187" w:rsidRDefault="003D1E95" w:rsidP="00EE5187">
      <w:pPr>
        <w:widowControl/>
        <w:suppressAutoHyphens w:val="0"/>
        <w:spacing w:after="200"/>
        <w:ind w:left="283" w:right="283" w:firstLine="567"/>
        <w:jc w:val="both"/>
        <w:rPr>
          <w:color w:val="010000"/>
        </w:rPr>
      </w:pPr>
      <w:r w:rsidRPr="00EE5187">
        <w:rPr>
          <w:b/>
          <w:color w:val="010000"/>
        </w:rPr>
        <w:t>III.</w:t>
      </w:r>
      <w:r w:rsidR="00EE5187" w:rsidRPr="00EE5187">
        <w:rPr>
          <w:color w:val="010000"/>
        </w:rPr>
        <w:t xml:space="preserve"> </w:t>
      </w:r>
      <w:r w:rsidRPr="00EE5187">
        <w:rPr>
          <w:b/>
          <w:color w:val="010000"/>
        </w:rPr>
        <w:t>GİDERİM</w:t>
      </w:r>
    </w:p>
    <w:p w:rsidR="003D1E95" w:rsidRPr="00EE5187" w:rsidRDefault="003D1E95" w:rsidP="00EE5187">
      <w:pPr>
        <w:widowControl/>
        <w:suppressAutoHyphens w:val="0"/>
        <w:spacing w:after="200"/>
        <w:ind w:left="283" w:right="283" w:firstLine="567"/>
        <w:jc w:val="both"/>
        <w:rPr>
          <w:color w:val="010000"/>
        </w:rPr>
      </w:pPr>
      <w:r w:rsidRPr="00EE5187">
        <w:rPr>
          <w:color w:val="010000"/>
        </w:rPr>
        <w:lastRenderedPageBreak/>
        <w:t>4.</w:t>
      </w:r>
      <w:r w:rsidR="00EE5187" w:rsidRPr="00EE5187">
        <w:rPr>
          <w:color w:val="010000"/>
        </w:rPr>
        <w:t xml:space="preserve"> </w:t>
      </w:r>
      <w:r w:rsidRPr="00EE5187">
        <w:rPr>
          <w:color w:val="010000"/>
        </w:rPr>
        <w:t>Başvurucular, ihlalin tespiti ile tazminat talebinde bulunmuştur. İhlalin sonuçlarının ortadan kaldırılması için manevi zararları karşılığında başvuruculara talepleri dikkate alınarak ekli tablonun (H) sütununda belirtilen net tutarlarda manevi tazminat ödenmesine karar verilmesi gerekir. Başvurucuların uğradıklarını iddia ettikleri maddi zarar ile tespit edilen ihlal arasında illiyet bağı bulunmayıp başvurucular da yeterli bilgi ve belge sunmadığından maddi tazminat talebinin reddine karar verilmesi gerekir.</w:t>
      </w:r>
    </w:p>
    <w:p w:rsidR="003D1E95" w:rsidRPr="00EE5187" w:rsidRDefault="003D1E95" w:rsidP="00EE5187">
      <w:pPr>
        <w:widowControl/>
        <w:suppressAutoHyphens w:val="0"/>
        <w:spacing w:after="200"/>
        <w:ind w:left="283" w:right="283" w:firstLine="567"/>
        <w:jc w:val="both"/>
        <w:rPr>
          <w:color w:val="010000"/>
        </w:rPr>
      </w:pPr>
      <w:r w:rsidRPr="00EE5187">
        <w:rPr>
          <w:b/>
          <w:color w:val="010000"/>
        </w:rPr>
        <w:t>IV.</w:t>
      </w:r>
      <w:r w:rsidR="00EE5187" w:rsidRPr="00EE5187">
        <w:rPr>
          <w:color w:val="010000"/>
        </w:rPr>
        <w:t xml:space="preserve"> </w:t>
      </w:r>
      <w:r w:rsidRPr="00EE5187">
        <w:rPr>
          <w:b/>
          <w:color w:val="010000"/>
        </w:rPr>
        <w:t>HÜKÜM</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Açıklanan gerekçelerle;</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A.</w:t>
      </w:r>
      <w:r w:rsidR="00EE5187" w:rsidRPr="00EE5187">
        <w:rPr>
          <w:color w:val="010000"/>
        </w:rPr>
        <w:t xml:space="preserve"> </w:t>
      </w:r>
      <w:r w:rsidRPr="00EE5187">
        <w:rPr>
          <w:color w:val="010000"/>
        </w:rPr>
        <w:t>Adli yardım talebinde bulunan başvurucuların adli yardım taleplerinin KABULÜNE,</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B.</w:t>
      </w:r>
      <w:r w:rsidR="00EE5187" w:rsidRPr="00EE5187">
        <w:rPr>
          <w:color w:val="010000"/>
        </w:rPr>
        <w:t xml:space="preserve"> </w:t>
      </w:r>
      <w:r w:rsidRPr="00EE5187">
        <w:rPr>
          <w:color w:val="010000"/>
        </w:rPr>
        <w:t>1. Makul sürede yargılanma hakkının ihlal edildiğine ilişkin iddianın KABUL EDİLEBİLİR OLDUĞUNA,</w:t>
      </w:r>
    </w:p>
    <w:p w:rsidR="003D1E95" w:rsidRPr="00EE5187" w:rsidRDefault="003D1E95" w:rsidP="00EE5187">
      <w:pPr>
        <w:widowControl/>
        <w:suppressAutoHyphens w:val="0"/>
        <w:spacing w:after="200"/>
        <w:ind w:left="283" w:right="283" w:firstLine="850"/>
        <w:jc w:val="both"/>
        <w:rPr>
          <w:color w:val="010000"/>
        </w:rPr>
      </w:pPr>
      <w:bookmarkStart w:id="0" w:name="_GoBack"/>
      <w:bookmarkEnd w:id="0"/>
      <w:r w:rsidRPr="00EE5187">
        <w:rPr>
          <w:color w:val="010000"/>
        </w:rPr>
        <w:t xml:space="preserve">2. Diğer ihlal iddialarının </w:t>
      </w:r>
      <w:r w:rsidRPr="00EE5187">
        <w:rPr>
          <w:i/>
          <w:iCs/>
          <w:color w:val="010000"/>
        </w:rPr>
        <w:t>kabul edilebilirlik kriterlerini karşılamaması</w:t>
      </w:r>
      <w:r w:rsidRPr="00EE5187">
        <w:rPr>
          <w:color w:val="010000"/>
        </w:rPr>
        <w:t xml:space="preserve"> nedeniyle KABUL EDİLEMEZ OLDUĞUNA,</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C.</w:t>
      </w:r>
      <w:r w:rsidR="00EE5187" w:rsidRPr="00EE5187">
        <w:rPr>
          <w:color w:val="010000"/>
        </w:rPr>
        <w:t xml:space="preserve"> </w:t>
      </w:r>
      <w:r w:rsidRPr="00EE5187">
        <w:rPr>
          <w:color w:val="010000"/>
        </w:rPr>
        <w:t>Anayasa’nın 36. maddesinde güvence altına alınan makul sürede yargılanma hakkının İHLAL EDİLDİĞİNE,</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D.</w:t>
      </w:r>
      <w:r w:rsidR="00EE5187" w:rsidRPr="00EE5187">
        <w:rPr>
          <w:color w:val="010000"/>
        </w:rPr>
        <w:t xml:space="preserve"> </w:t>
      </w:r>
      <w:r w:rsidRPr="00EE5187">
        <w:rPr>
          <w:color w:val="010000"/>
        </w:rPr>
        <w:t>Başvuruculara ekli tablonun (H) sütununda belirtilen net tutarlarda manevi tazminatın AYRI AYRI ÖDENMESİNE, diğer tazminat taleplerinin REDDİNE,</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E.</w:t>
      </w:r>
      <w:r w:rsidR="00EE5187" w:rsidRPr="00EE5187">
        <w:rPr>
          <w:color w:val="010000"/>
        </w:rPr>
        <w:t xml:space="preserve"> </w:t>
      </w:r>
      <w:r w:rsidRPr="00EE5187">
        <w:rPr>
          <w:color w:val="010000"/>
        </w:rPr>
        <w:t>Vekille temsil edilen başvuruculara ekli tablonun (G) sütununda belirtilen vekâlet ücretleri ile ekli tablonun (D) sütununda belirtilen harçların bu tabloda gösterildiği şekilde ÖDENMESİNE,</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F.</w:t>
      </w:r>
      <w:r w:rsidR="00EE5187" w:rsidRPr="00EE5187">
        <w:rPr>
          <w:color w:val="010000"/>
        </w:rPr>
        <w:t xml:space="preserve"> </w:t>
      </w:r>
      <w:r w:rsidRPr="00EE5187">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G.</w:t>
      </w:r>
      <w:r w:rsidR="00EE5187" w:rsidRPr="00EE5187">
        <w:rPr>
          <w:color w:val="010000"/>
        </w:rPr>
        <w:t xml:space="preserve"> </w:t>
      </w:r>
      <w:r w:rsidRPr="00EE5187">
        <w:rPr>
          <w:color w:val="010000"/>
        </w:rPr>
        <w:t>Kararın bir örneğinin bilgi için ilgili mahkemelere GÖNDERİLMESİNE,</w:t>
      </w:r>
    </w:p>
    <w:p w:rsidR="003D1E95" w:rsidRPr="00EE5187" w:rsidRDefault="003D1E95" w:rsidP="00EE5187">
      <w:pPr>
        <w:widowControl/>
        <w:suppressAutoHyphens w:val="0"/>
        <w:spacing w:after="200"/>
        <w:ind w:left="283" w:right="283" w:firstLine="567"/>
        <w:jc w:val="both"/>
        <w:rPr>
          <w:color w:val="010000"/>
        </w:rPr>
      </w:pPr>
      <w:r w:rsidRPr="00EE5187">
        <w:rPr>
          <w:color w:val="010000"/>
        </w:rPr>
        <w:t>H.</w:t>
      </w:r>
      <w:r w:rsidR="00EE5187" w:rsidRPr="00EE5187">
        <w:rPr>
          <w:color w:val="010000"/>
        </w:rPr>
        <w:t xml:space="preserve"> </w:t>
      </w:r>
      <w:r w:rsidRPr="00EE5187">
        <w:rPr>
          <w:color w:val="010000"/>
        </w:rPr>
        <w:t>Kararın bir örneğinin Adalet Bakanlığına GÖNDERİLMESİNE 20/12/2022 tarihinde OYBİRLİĞİYLE karar verildi.</w:t>
      </w:r>
    </w:p>
    <w:sectPr w:rsidR="003D1E95" w:rsidRPr="00EE5187" w:rsidSect="00EE518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D1E95" w:rsidRDefault="003D1E95">
      <w:r>
        <w:separator/>
      </w:r>
    </w:p>
  </w:endnote>
  <w:endnote w:type="continuationSeparator" w:id="0">
    <w:p w:rsidR="003D1E95" w:rsidRDefault="003D1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E95" w:rsidRDefault="003D1E95">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3D1E95" w:rsidRDefault="003D1E9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D1E95" w:rsidRDefault="003D1E95">
      <w:r>
        <w:separator/>
      </w:r>
    </w:p>
  </w:footnote>
  <w:footnote w:type="continuationSeparator" w:id="0">
    <w:p w:rsidR="003D1E95" w:rsidRDefault="003D1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E95" w:rsidRDefault="003D1E95">
    <w:pPr>
      <w:pStyle w:val="stBilgi"/>
      <w:tabs>
        <w:tab w:val="left" w:pos="2020"/>
      </w:tabs>
      <w:spacing w:line="288" w:lineRule="exact"/>
    </w:pPr>
    <w:r>
      <w:t>Başvuru Numarası</w:t>
    </w:r>
    <w:r>
      <w:tab/>
      <w:t>: 2019/8193</w:t>
    </w:r>
  </w:p>
  <w:p w:rsidR="003D1E95" w:rsidRDefault="003D1E95">
    <w:pPr>
      <w:pStyle w:val="stBilgi"/>
      <w:tabs>
        <w:tab w:val="left" w:pos="1940"/>
      </w:tabs>
      <w:spacing w:line="288" w:lineRule="exact"/>
    </w:pPr>
    <w:r>
      <w:t>Karar Tarihi</w:t>
    </w:r>
    <w:proofErr w:type="gramStart"/>
    <w:r>
      <w:tab/>
      <w:t xml:space="preserve"> :</w:t>
    </w:r>
    <w:proofErr w:type="gramEnd"/>
    <w:r>
      <w:t xml:space="preserve"> 20/12/2022 </w:t>
    </w:r>
  </w:p>
  <w:p w:rsidR="00EE5187" w:rsidRDefault="00EE5187">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61134"/>
    <w:rsid w:val="003D1E95"/>
    <w:rsid w:val="003F5274"/>
    <w:rsid w:val="00A61134"/>
    <w:rsid w:val="00EE51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49B8C13"/>
  <w15:chartTrackingRefBased/>
  <w15:docId w15:val="{A11A8AD3-C8AA-45BD-8831-D255BFB5D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613</Words>
  <Characters>3496</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Ergin KAYA</cp:lastModifiedBy>
  <cp:revision>3</cp:revision>
  <cp:lastPrinted>1899-12-31T21:00:00Z</cp:lastPrinted>
  <dcterms:created xsi:type="dcterms:W3CDTF">2023-02-16T07:32:00Z</dcterms:created>
  <dcterms:modified xsi:type="dcterms:W3CDTF">2023-04-06T07:07:00Z</dcterms:modified>
</cp:coreProperties>
</file>