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B3F46" w:rsidRDefault="003B3F46" w:rsidP="003B3F46">
      <w:pPr>
        <w:widowControl/>
        <w:suppressAutoHyphens w:val="0"/>
        <w:spacing w:after="200"/>
        <w:ind w:left="283" w:right="283" w:firstLine="567"/>
        <w:jc w:val="both"/>
        <w:rPr>
          <w:b/>
          <w:color w:val="010000"/>
          <w:sz w:val="28"/>
        </w:rPr>
      </w:pPr>
    </w:p>
    <w:p w:rsidR="003B3F46" w:rsidRDefault="003B3F46" w:rsidP="003B3F46">
      <w:pPr>
        <w:widowControl/>
        <w:suppressAutoHyphens w:val="0"/>
        <w:spacing w:after="200"/>
        <w:ind w:left="283" w:right="283" w:firstLine="567"/>
        <w:jc w:val="both"/>
        <w:rPr>
          <w:b/>
          <w:color w:val="010000"/>
          <w:sz w:val="28"/>
        </w:rPr>
      </w:pPr>
    </w:p>
    <w:p w:rsidR="003B3F46" w:rsidRDefault="003B3F46" w:rsidP="003B3F46">
      <w:pPr>
        <w:widowControl/>
        <w:suppressAutoHyphens w:val="0"/>
        <w:spacing w:after="200"/>
        <w:ind w:left="283" w:right="283" w:firstLine="567"/>
        <w:jc w:val="both"/>
        <w:rPr>
          <w:b/>
          <w:color w:val="010000"/>
          <w:sz w:val="28"/>
        </w:rPr>
      </w:pPr>
    </w:p>
    <w:p w:rsidR="003B3F46" w:rsidRDefault="003B3F46" w:rsidP="003B3F4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sz w:val="28"/>
              </w:rPr>
            </w:pPr>
            <w:r>
              <w:rPr>
                <w:b/>
                <w:color w:val="010000"/>
                <w:sz w:val="28"/>
              </w:rPr>
              <w:t>TÜRKİYE CUMHURİYETİ</w:t>
            </w: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sz w:val="32"/>
              </w:rPr>
            </w:pPr>
            <w:r>
              <w:rPr>
                <w:b/>
                <w:color w:val="010000"/>
                <w:sz w:val="32"/>
              </w:rPr>
              <w:t>ANAYASA MAHKEMESİ</w:t>
            </w: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r>
              <w:rPr>
                <w:b/>
                <w:color w:val="010000"/>
              </w:rPr>
              <w:t>BİRİNCİ BÖLÜM</w:t>
            </w: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r>
              <w:rPr>
                <w:b/>
                <w:color w:val="010000"/>
              </w:rPr>
              <w:t>KARAR</w:t>
            </w: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r>
              <w:rPr>
                <w:b/>
                <w:color w:val="010000"/>
              </w:rPr>
              <w:t>ALİ AKLIK BAŞVURUSU</w:t>
            </w: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color w:val="010000"/>
              </w:rPr>
            </w:pPr>
            <w:r>
              <w:rPr>
                <w:color w:val="010000"/>
              </w:rPr>
              <w:t>(Başvuru Numarası: 2019/9869)</w:t>
            </w: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color w:val="010000"/>
              </w:rPr>
            </w:pPr>
            <w:r>
              <w:rPr>
                <w:color w:val="010000"/>
              </w:rPr>
              <w:t>Karar Tarihi: 18/11/2020</w:t>
            </w: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r w:rsidR="003B3F46" w:rsidRPr="003B3F46" w:rsidTr="003B3F46">
        <w:tblPrEx>
          <w:tblCellMar>
            <w:top w:w="0" w:type="dxa"/>
            <w:bottom w:w="0" w:type="dxa"/>
          </w:tblCellMar>
        </w:tblPrEx>
        <w:trPr>
          <w:trHeight w:val="500"/>
          <w:jc w:val="center"/>
        </w:trPr>
        <w:tc>
          <w:tcPr>
            <w:tcW w:w="9072" w:type="dxa"/>
            <w:vAlign w:val="center"/>
          </w:tcPr>
          <w:p w:rsidR="003B3F46" w:rsidRPr="003B3F46" w:rsidRDefault="003B3F46" w:rsidP="003B3F46">
            <w:pPr>
              <w:widowControl/>
              <w:suppressAutoHyphens w:val="0"/>
              <w:spacing w:after="200"/>
              <w:ind w:right="283"/>
              <w:jc w:val="center"/>
              <w:rPr>
                <w:b/>
                <w:color w:val="010000"/>
              </w:rPr>
            </w:pPr>
          </w:p>
        </w:tc>
      </w:tr>
    </w:tbl>
    <w:p w:rsidR="003B3F46" w:rsidRDefault="003B3F46" w:rsidP="003B3F46">
      <w:pPr>
        <w:widowControl/>
        <w:suppressAutoHyphens w:val="0"/>
        <w:spacing w:after="200"/>
        <w:ind w:left="283" w:right="283" w:firstLine="567"/>
        <w:jc w:val="both"/>
        <w:rPr>
          <w:b/>
          <w:color w:val="010000"/>
        </w:rPr>
        <w:sectPr w:rsidR="003B3F46" w:rsidSect="003B3F46">
          <w:headerReference w:type="default" r:id="rId6"/>
          <w:footerReference w:type="default" r:id="rId7"/>
          <w:pgSz w:w="11906" w:h="16838"/>
          <w:pgMar w:top="976" w:right="1417" w:bottom="941" w:left="1417" w:header="400" w:footer="400" w:gutter="0"/>
          <w:cols w:space="708"/>
          <w:titlePg/>
          <w:docGrid w:linePitch="326"/>
        </w:sectPr>
      </w:pPr>
    </w:p>
    <w:p w:rsidR="003B3F46" w:rsidRDefault="003B3F46" w:rsidP="003B3F46">
      <w:pPr>
        <w:widowControl/>
        <w:suppressAutoHyphens w:val="0"/>
        <w:spacing w:after="200"/>
        <w:ind w:left="283" w:right="283" w:firstLine="567"/>
        <w:jc w:val="both"/>
        <w:rPr>
          <w:b/>
          <w:color w:val="010000"/>
        </w:rPr>
      </w:pPr>
    </w:p>
    <w:p w:rsidR="007169E3" w:rsidRPr="003B3F46" w:rsidRDefault="00853ADF" w:rsidP="003B3F46">
      <w:pPr>
        <w:widowControl/>
        <w:suppressAutoHyphens w:val="0"/>
        <w:spacing w:after="200"/>
        <w:ind w:left="283" w:right="283" w:firstLine="1"/>
        <w:jc w:val="center"/>
        <w:rPr>
          <w:color w:val="010000"/>
        </w:rPr>
      </w:pPr>
      <w:r w:rsidRPr="003B3F46">
        <w:rPr>
          <w:b/>
          <w:color w:val="010000"/>
        </w:rPr>
        <w:t>BİRİNCİ BÖLÜM</w:t>
      </w:r>
    </w:p>
    <w:p w:rsidR="007169E3" w:rsidRPr="003B3F46" w:rsidRDefault="00853ADF" w:rsidP="003B3F46">
      <w:pPr>
        <w:widowControl/>
        <w:suppressAutoHyphens w:val="0"/>
        <w:spacing w:after="200"/>
        <w:ind w:left="283" w:right="283" w:firstLine="1"/>
        <w:jc w:val="center"/>
        <w:rPr>
          <w:color w:val="010000"/>
        </w:rPr>
      </w:pPr>
      <w:r w:rsidRPr="003B3F46">
        <w:rPr>
          <w:b/>
          <w:color w:val="010000"/>
        </w:rPr>
        <w:t>KARAR</w:t>
      </w:r>
    </w:p>
    <w:p w:rsidR="003B3F46" w:rsidRDefault="003B3F46" w:rsidP="003B3F46">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r w:rsidRPr="003B3F46">
              <w:rPr>
                <w:b/>
                <w:color w:val="010000"/>
              </w:rPr>
              <w:t>Başkan</w:t>
            </w:r>
          </w:p>
        </w:tc>
        <w:tc>
          <w:tcPr>
            <w:tcW w:w="200" w:type="dxa"/>
          </w:tcPr>
          <w:p w:rsidR="003B3F46" w:rsidRPr="003B3F46" w:rsidRDefault="003B3F46" w:rsidP="003B3F46">
            <w:pPr>
              <w:widowControl/>
              <w:suppressAutoHyphens w:val="0"/>
              <w:rPr>
                <w:b/>
                <w:color w:val="010000"/>
              </w:rPr>
            </w:pPr>
            <w:r w:rsidRPr="003B3F46">
              <w:rPr>
                <w:b/>
                <w:color w:val="010000"/>
              </w:rPr>
              <w:t>:</w:t>
            </w:r>
          </w:p>
        </w:tc>
        <w:tc>
          <w:tcPr>
            <w:tcW w:w="5400" w:type="dxa"/>
          </w:tcPr>
          <w:p w:rsidR="003B3F46" w:rsidRPr="003B3F46" w:rsidRDefault="003B3F46" w:rsidP="003B3F46">
            <w:pPr>
              <w:widowControl/>
              <w:suppressAutoHyphens w:val="0"/>
              <w:rPr>
                <w:color w:val="010000"/>
              </w:rPr>
            </w:pPr>
            <w:r w:rsidRPr="003B3F46">
              <w:rPr>
                <w:color w:val="010000"/>
              </w:rPr>
              <w:t>Hasan Tahsin GÖKCAN</w:t>
            </w:r>
          </w:p>
        </w:tc>
      </w:tr>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r w:rsidRPr="003B3F46">
              <w:rPr>
                <w:b/>
                <w:color w:val="010000"/>
              </w:rPr>
              <w:t>Üyeler</w:t>
            </w:r>
          </w:p>
        </w:tc>
        <w:tc>
          <w:tcPr>
            <w:tcW w:w="200" w:type="dxa"/>
          </w:tcPr>
          <w:p w:rsidR="003B3F46" w:rsidRPr="003B3F46" w:rsidRDefault="003B3F46" w:rsidP="003B3F46">
            <w:pPr>
              <w:widowControl/>
              <w:suppressAutoHyphens w:val="0"/>
              <w:rPr>
                <w:b/>
                <w:color w:val="010000"/>
              </w:rPr>
            </w:pPr>
            <w:r w:rsidRPr="003B3F46">
              <w:rPr>
                <w:b/>
                <w:color w:val="010000"/>
              </w:rPr>
              <w:t>:</w:t>
            </w:r>
          </w:p>
        </w:tc>
        <w:tc>
          <w:tcPr>
            <w:tcW w:w="5400" w:type="dxa"/>
          </w:tcPr>
          <w:p w:rsidR="003B3F46" w:rsidRPr="003B3F46" w:rsidRDefault="003B3F46" w:rsidP="003B3F46">
            <w:pPr>
              <w:widowControl/>
              <w:suppressAutoHyphens w:val="0"/>
              <w:rPr>
                <w:color w:val="010000"/>
              </w:rPr>
            </w:pPr>
            <w:r w:rsidRPr="003B3F46">
              <w:rPr>
                <w:color w:val="010000"/>
              </w:rPr>
              <w:t>Burhan ÜSTÜN</w:t>
            </w:r>
          </w:p>
        </w:tc>
      </w:tr>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p>
        </w:tc>
        <w:tc>
          <w:tcPr>
            <w:tcW w:w="200" w:type="dxa"/>
          </w:tcPr>
          <w:p w:rsidR="003B3F46" w:rsidRPr="003B3F46" w:rsidRDefault="003B3F46" w:rsidP="003B3F46">
            <w:pPr>
              <w:widowControl/>
              <w:suppressAutoHyphens w:val="0"/>
              <w:rPr>
                <w:b/>
                <w:color w:val="010000"/>
              </w:rPr>
            </w:pPr>
          </w:p>
        </w:tc>
        <w:tc>
          <w:tcPr>
            <w:tcW w:w="5400" w:type="dxa"/>
          </w:tcPr>
          <w:p w:rsidR="003B3F46" w:rsidRPr="003B3F46" w:rsidRDefault="003B3F46" w:rsidP="003B3F46">
            <w:pPr>
              <w:widowControl/>
              <w:suppressAutoHyphens w:val="0"/>
              <w:rPr>
                <w:color w:val="010000"/>
              </w:rPr>
            </w:pPr>
            <w:proofErr w:type="spellStart"/>
            <w:r w:rsidRPr="003B3F46">
              <w:rPr>
                <w:color w:val="010000"/>
              </w:rPr>
              <w:t>Hicabi</w:t>
            </w:r>
            <w:proofErr w:type="spellEnd"/>
            <w:r w:rsidRPr="003B3F46">
              <w:rPr>
                <w:color w:val="010000"/>
              </w:rPr>
              <w:t xml:space="preserve"> DURSUN</w:t>
            </w:r>
          </w:p>
        </w:tc>
      </w:tr>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p>
        </w:tc>
        <w:tc>
          <w:tcPr>
            <w:tcW w:w="200" w:type="dxa"/>
          </w:tcPr>
          <w:p w:rsidR="003B3F46" w:rsidRPr="003B3F46" w:rsidRDefault="003B3F46" w:rsidP="003B3F46">
            <w:pPr>
              <w:widowControl/>
              <w:suppressAutoHyphens w:val="0"/>
              <w:rPr>
                <w:b/>
                <w:color w:val="010000"/>
              </w:rPr>
            </w:pPr>
          </w:p>
        </w:tc>
        <w:tc>
          <w:tcPr>
            <w:tcW w:w="5400" w:type="dxa"/>
          </w:tcPr>
          <w:p w:rsidR="003B3F46" w:rsidRPr="003B3F46" w:rsidRDefault="003B3F46" w:rsidP="003B3F46">
            <w:pPr>
              <w:widowControl/>
              <w:suppressAutoHyphens w:val="0"/>
              <w:rPr>
                <w:color w:val="010000"/>
              </w:rPr>
            </w:pPr>
            <w:r w:rsidRPr="003B3F46">
              <w:rPr>
                <w:color w:val="010000"/>
              </w:rPr>
              <w:t>Yusuf Şevki HAKYEMEZ</w:t>
            </w:r>
          </w:p>
        </w:tc>
      </w:tr>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p>
        </w:tc>
        <w:tc>
          <w:tcPr>
            <w:tcW w:w="200" w:type="dxa"/>
          </w:tcPr>
          <w:p w:rsidR="003B3F46" w:rsidRPr="003B3F46" w:rsidRDefault="003B3F46" w:rsidP="003B3F46">
            <w:pPr>
              <w:widowControl/>
              <w:suppressAutoHyphens w:val="0"/>
              <w:rPr>
                <w:b/>
                <w:color w:val="010000"/>
              </w:rPr>
            </w:pPr>
          </w:p>
        </w:tc>
        <w:tc>
          <w:tcPr>
            <w:tcW w:w="5400" w:type="dxa"/>
          </w:tcPr>
          <w:p w:rsidR="003B3F46" w:rsidRPr="003B3F46" w:rsidRDefault="003B3F46" w:rsidP="003B3F46">
            <w:pPr>
              <w:widowControl/>
              <w:suppressAutoHyphens w:val="0"/>
              <w:rPr>
                <w:color w:val="010000"/>
              </w:rPr>
            </w:pPr>
            <w:r w:rsidRPr="003B3F46">
              <w:rPr>
                <w:color w:val="010000"/>
              </w:rPr>
              <w:t>Selahaddin MENTEŞ</w:t>
            </w:r>
          </w:p>
        </w:tc>
      </w:tr>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r w:rsidRPr="003B3F46">
              <w:rPr>
                <w:b/>
                <w:color w:val="010000"/>
              </w:rPr>
              <w:t>Raportör</w:t>
            </w:r>
          </w:p>
        </w:tc>
        <w:tc>
          <w:tcPr>
            <w:tcW w:w="200" w:type="dxa"/>
          </w:tcPr>
          <w:p w:rsidR="003B3F46" w:rsidRPr="003B3F46" w:rsidRDefault="003B3F46" w:rsidP="003B3F46">
            <w:pPr>
              <w:widowControl/>
              <w:suppressAutoHyphens w:val="0"/>
              <w:rPr>
                <w:b/>
                <w:color w:val="010000"/>
              </w:rPr>
            </w:pPr>
            <w:r w:rsidRPr="003B3F46">
              <w:rPr>
                <w:b/>
                <w:color w:val="010000"/>
              </w:rPr>
              <w:t>:</w:t>
            </w:r>
          </w:p>
        </w:tc>
        <w:tc>
          <w:tcPr>
            <w:tcW w:w="5400" w:type="dxa"/>
          </w:tcPr>
          <w:p w:rsidR="003B3F46" w:rsidRPr="003B3F46" w:rsidRDefault="003B3F46" w:rsidP="003B3F46">
            <w:pPr>
              <w:widowControl/>
              <w:suppressAutoHyphens w:val="0"/>
              <w:rPr>
                <w:color w:val="010000"/>
              </w:rPr>
            </w:pPr>
            <w:r w:rsidRPr="003B3F46">
              <w:rPr>
                <w:color w:val="010000"/>
              </w:rPr>
              <w:t>Hikmet Murat AKKAYA</w:t>
            </w:r>
          </w:p>
        </w:tc>
      </w:tr>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r w:rsidRPr="003B3F46">
              <w:rPr>
                <w:b/>
                <w:color w:val="010000"/>
              </w:rPr>
              <w:t>Başvurucu</w:t>
            </w:r>
          </w:p>
        </w:tc>
        <w:tc>
          <w:tcPr>
            <w:tcW w:w="200" w:type="dxa"/>
          </w:tcPr>
          <w:p w:rsidR="003B3F46" w:rsidRPr="003B3F46" w:rsidRDefault="003B3F46" w:rsidP="003B3F46">
            <w:pPr>
              <w:widowControl/>
              <w:suppressAutoHyphens w:val="0"/>
              <w:rPr>
                <w:b/>
                <w:color w:val="010000"/>
              </w:rPr>
            </w:pPr>
            <w:r w:rsidRPr="003B3F46">
              <w:rPr>
                <w:b/>
                <w:color w:val="010000"/>
              </w:rPr>
              <w:t>:</w:t>
            </w:r>
          </w:p>
        </w:tc>
        <w:tc>
          <w:tcPr>
            <w:tcW w:w="5400" w:type="dxa"/>
          </w:tcPr>
          <w:p w:rsidR="003B3F46" w:rsidRPr="003B3F46" w:rsidRDefault="003B3F46" w:rsidP="003B3F46">
            <w:pPr>
              <w:widowControl/>
              <w:suppressAutoHyphens w:val="0"/>
              <w:rPr>
                <w:color w:val="010000"/>
              </w:rPr>
            </w:pPr>
            <w:r w:rsidRPr="003B3F46">
              <w:rPr>
                <w:color w:val="010000"/>
              </w:rPr>
              <w:t>Ali AKLIK</w:t>
            </w:r>
          </w:p>
        </w:tc>
      </w:tr>
      <w:tr w:rsidR="003B3F46" w:rsidRPr="003B3F46" w:rsidTr="003B3F46">
        <w:tblPrEx>
          <w:tblCellMar>
            <w:top w:w="0" w:type="dxa"/>
            <w:bottom w:w="0" w:type="dxa"/>
          </w:tblCellMar>
        </w:tblPrEx>
        <w:trPr>
          <w:trHeight w:val="454"/>
        </w:trPr>
        <w:tc>
          <w:tcPr>
            <w:tcW w:w="2400" w:type="dxa"/>
          </w:tcPr>
          <w:p w:rsidR="003B3F46" w:rsidRPr="003B3F46" w:rsidRDefault="003B3F46" w:rsidP="003B3F46">
            <w:pPr>
              <w:widowControl/>
              <w:suppressAutoHyphens w:val="0"/>
              <w:rPr>
                <w:b/>
                <w:color w:val="010000"/>
              </w:rPr>
            </w:pPr>
            <w:r w:rsidRPr="003B3F46">
              <w:rPr>
                <w:b/>
                <w:color w:val="010000"/>
              </w:rPr>
              <w:t>Vekili</w:t>
            </w:r>
          </w:p>
        </w:tc>
        <w:tc>
          <w:tcPr>
            <w:tcW w:w="200" w:type="dxa"/>
          </w:tcPr>
          <w:p w:rsidR="003B3F46" w:rsidRPr="003B3F46" w:rsidRDefault="003B3F46" w:rsidP="003B3F46">
            <w:pPr>
              <w:widowControl/>
              <w:suppressAutoHyphens w:val="0"/>
              <w:rPr>
                <w:b/>
                <w:color w:val="010000"/>
              </w:rPr>
            </w:pPr>
            <w:r w:rsidRPr="003B3F46">
              <w:rPr>
                <w:b/>
                <w:color w:val="010000"/>
              </w:rPr>
              <w:t>:</w:t>
            </w:r>
          </w:p>
        </w:tc>
        <w:tc>
          <w:tcPr>
            <w:tcW w:w="5400" w:type="dxa"/>
          </w:tcPr>
          <w:p w:rsidR="003B3F46" w:rsidRPr="003B3F46" w:rsidRDefault="003B3F46" w:rsidP="003B3F46">
            <w:pPr>
              <w:widowControl/>
              <w:suppressAutoHyphens w:val="0"/>
              <w:rPr>
                <w:color w:val="010000"/>
              </w:rPr>
            </w:pPr>
            <w:r w:rsidRPr="003B3F46">
              <w:rPr>
                <w:color w:val="010000"/>
              </w:rPr>
              <w:t>Av. Mesut ATAMAN</w:t>
            </w:r>
          </w:p>
        </w:tc>
      </w:tr>
    </w:tbl>
    <w:p w:rsidR="003B3F46" w:rsidRDefault="003B3F46" w:rsidP="003B3F46">
      <w:pPr>
        <w:widowControl/>
        <w:suppressAutoHyphens w:val="0"/>
        <w:spacing w:after="200"/>
        <w:ind w:left="283" w:right="283" w:firstLine="567"/>
        <w:jc w:val="both"/>
        <w:rPr>
          <w:b/>
          <w:color w:val="010000"/>
        </w:rPr>
      </w:pPr>
    </w:p>
    <w:p w:rsidR="007169E3" w:rsidRPr="003B3F46" w:rsidRDefault="00853ADF" w:rsidP="003B3F46">
      <w:pPr>
        <w:widowControl/>
        <w:suppressAutoHyphens w:val="0"/>
        <w:spacing w:after="200"/>
        <w:ind w:left="283" w:right="283" w:firstLine="567"/>
        <w:jc w:val="both"/>
        <w:rPr>
          <w:color w:val="010000"/>
        </w:rPr>
      </w:pPr>
      <w:r w:rsidRPr="003B3F46">
        <w:rPr>
          <w:b/>
          <w:color w:val="010000"/>
        </w:rPr>
        <w:t>I.</w:t>
      </w:r>
      <w:r w:rsidR="003B3F46" w:rsidRPr="003B3F46">
        <w:rPr>
          <w:color w:val="010000"/>
        </w:rPr>
        <w:t xml:space="preserve"> </w:t>
      </w:r>
      <w:r w:rsidRPr="003B3F46">
        <w:rPr>
          <w:b/>
          <w:color w:val="010000"/>
        </w:rPr>
        <w:t>BAŞVURUNUN KONUSU</w:t>
      </w:r>
    </w:p>
    <w:p w:rsidR="007169E3" w:rsidRPr="003B3F46" w:rsidRDefault="00853ADF" w:rsidP="003B3F46">
      <w:pPr>
        <w:pStyle w:val="edf1450279197849"/>
        <w:widowControl/>
        <w:suppressAutoHyphens w:val="0"/>
        <w:spacing w:after="200"/>
        <w:ind w:left="283" w:right="283" w:firstLine="567"/>
        <w:jc w:val="both"/>
        <w:rPr>
          <w:rFonts w:cs="Times New Roman"/>
          <w:color w:val="010000"/>
        </w:rPr>
      </w:pPr>
      <w:r w:rsidRPr="003B3F46">
        <w:rPr>
          <w:rFonts w:cs="Times New Roman"/>
          <w:color w:val="010000"/>
        </w:rPr>
        <w:t>1.</w:t>
      </w:r>
      <w:r w:rsidR="003B3F46" w:rsidRPr="003B3F46">
        <w:rPr>
          <w:rFonts w:cs="Times New Roman"/>
          <w:color w:val="010000"/>
        </w:rPr>
        <w:t xml:space="preserve"> </w:t>
      </w:r>
      <w:r w:rsidRPr="003B3F46">
        <w:rPr>
          <w:rFonts w:cs="Times New Roman"/>
          <w:color w:val="010000"/>
        </w:rPr>
        <w:t xml:space="preserve">Başvuru, yargılamanın uzun sürmesi nedeniyle makul sürede yargılanma hakkının ihlal edildiği iddiasına ilişkindir. </w:t>
      </w:r>
    </w:p>
    <w:p w:rsidR="007169E3" w:rsidRPr="003B3F46" w:rsidRDefault="00853ADF" w:rsidP="003B3F46">
      <w:pPr>
        <w:widowControl/>
        <w:suppressAutoHyphens w:val="0"/>
        <w:spacing w:after="200"/>
        <w:ind w:left="283" w:right="283" w:firstLine="567"/>
        <w:jc w:val="both"/>
        <w:rPr>
          <w:color w:val="010000"/>
        </w:rPr>
      </w:pPr>
      <w:r w:rsidRPr="003B3F46">
        <w:rPr>
          <w:b/>
          <w:color w:val="010000"/>
        </w:rPr>
        <w:t>II.</w:t>
      </w:r>
      <w:r w:rsidR="003B3F46" w:rsidRPr="003B3F46">
        <w:rPr>
          <w:color w:val="010000"/>
        </w:rPr>
        <w:t xml:space="preserve"> </w:t>
      </w:r>
      <w:r w:rsidRPr="003B3F46">
        <w:rPr>
          <w:b/>
          <w:color w:val="010000"/>
        </w:rPr>
        <w:t>BAŞVURU SÜRECİ</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w:t>
      </w:r>
      <w:r w:rsidR="003B3F46" w:rsidRPr="003B3F46">
        <w:rPr>
          <w:color w:val="010000"/>
        </w:rPr>
        <w:t xml:space="preserve"> </w:t>
      </w:r>
      <w:r w:rsidRPr="003B3F46">
        <w:rPr>
          <w:color w:val="010000"/>
        </w:rPr>
        <w:t>Başvuru 22/3/2019 tarihinde yapılmıştır.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3.</w:t>
      </w:r>
      <w:r w:rsidR="003B3F46" w:rsidRPr="003B3F46">
        <w:rPr>
          <w:color w:val="010000"/>
        </w:rPr>
        <w:t xml:space="preserve"> </w:t>
      </w:r>
      <w:r w:rsidRPr="003B3F46">
        <w:rPr>
          <w:color w:val="010000"/>
        </w:rPr>
        <w:t>Başvuru, başvuru formu ve eklerinin idari yönden yapılan ön incelemesinden sonra Komisyona sunulmuştur.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4.</w:t>
      </w:r>
      <w:r w:rsidR="003B3F46" w:rsidRPr="003B3F46">
        <w:rPr>
          <w:color w:val="010000"/>
        </w:rPr>
        <w:t xml:space="preserve"> </w:t>
      </w:r>
      <w:r w:rsidRPr="003B3F46">
        <w:rPr>
          <w:color w:val="010000"/>
        </w:rPr>
        <w:t xml:space="preserve">Komisyonca başvurunun kabul edilebilirlik incelemesinin Bölüm tarafından yapılmasına karar verilmiştir.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5.</w:t>
      </w:r>
      <w:r w:rsidR="003B3F46" w:rsidRPr="003B3F46">
        <w:rPr>
          <w:color w:val="010000"/>
        </w:rPr>
        <w:t xml:space="preserve"> </w:t>
      </w:r>
      <w:r w:rsidRPr="003B3F46">
        <w:rPr>
          <w:color w:val="010000"/>
        </w:rPr>
        <w:t>Bölüm Başkanı tarafından başvurunun kabul edilebilirlik ve esas incelemesinin birlikte yapılmasına karar verilmiştir.</w:t>
      </w:r>
    </w:p>
    <w:p w:rsidR="007169E3" w:rsidRPr="003B3F46" w:rsidRDefault="00853ADF" w:rsidP="003B3F46">
      <w:pPr>
        <w:widowControl/>
        <w:suppressAutoHyphens w:val="0"/>
        <w:spacing w:after="200"/>
        <w:ind w:left="283" w:right="283" w:firstLine="567"/>
        <w:jc w:val="both"/>
        <w:rPr>
          <w:color w:val="010000"/>
        </w:rPr>
      </w:pPr>
      <w:r w:rsidRPr="003B3F46">
        <w:rPr>
          <w:b/>
          <w:color w:val="010000"/>
        </w:rPr>
        <w:t>III.</w:t>
      </w:r>
      <w:r w:rsidR="003B3F46" w:rsidRPr="003B3F46">
        <w:rPr>
          <w:color w:val="010000"/>
        </w:rPr>
        <w:t xml:space="preserve"> </w:t>
      </w:r>
      <w:r w:rsidRPr="003B3F46">
        <w:rPr>
          <w:b/>
          <w:color w:val="010000"/>
        </w:rPr>
        <w:t xml:space="preserve">OLAY VE OLGULAR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6.</w:t>
      </w:r>
      <w:r w:rsidR="003B3F46" w:rsidRPr="003B3F46">
        <w:rPr>
          <w:color w:val="010000"/>
        </w:rPr>
        <w:t xml:space="preserve"> </w:t>
      </w:r>
      <w:r w:rsidRPr="003B3F46">
        <w:rPr>
          <w:color w:val="010000"/>
        </w:rPr>
        <w:t>Başvuru formu ve eklerinde ifade edildiği şekliyle ilgili olaylar özetle şöyledir: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7.</w:t>
      </w:r>
      <w:r w:rsidR="003B3F46" w:rsidRPr="003B3F46">
        <w:rPr>
          <w:color w:val="010000"/>
        </w:rPr>
        <w:t xml:space="preserve"> </w:t>
      </w:r>
      <w:r w:rsidRPr="003B3F46">
        <w:rPr>
          <w:color w:val="010000"/>
        </w:rPr>
        <w:t>Başvurucu hakkında suç işlemek amacıyla örgüt kurma ve ihaleye fesat karıştırma suçlarından dolayı Balıkesir Cumhuriyet Başsavcılığınca 2/4/2010 tarihinde iddianame düzenlenmiştir.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8.</w:t>
      </w:r>
      <w:r w:rsidR="003B3F46" w:rsidRPr="003B3F46">
        <w:rPr>
          <w:color w:val="010000"/>
        </w:rPr>
        <w:t xml:space="preserve"> </w:t>
      </w:r>
      <w:r w:rsidRPr="003B3F46">
        <w:rPr>
          <w:color w:val="010000"/>
        </w:rPr>
        <w:t xml:space="preserve">Balıkesir 2. Ağır Ceza Mahkemesinin 13/3/2018 tarihli kararıyla başvurucu hakkında beraat kararı verilmiştir. Başvurucu vekilinin vekâlet ücreti ödenmemesi nedeniyle karara karşı istinaf kanun yoluna başvurduğu anlaşılmıştır.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9.</w:t>
      </w:r>
      <w:r w:rsidR="003B3F46" w:rsidRPr="003B3F46">
        <w:rPr>
          <w:color w:val="010000"/>
        </w:rPr>
        <w:t xml:space="preserve"> </w:t>
      </w:r>
      <w:r w:rsidRPr="003B3F46">
        <w:rPr>
          <w:color w:val="010000"/>
        </w:rPr>
        <w:t xml:space="preserve">Bursa Bölge Adliye Mahkemesi 6. Ceza Dairesi 23/11/2018 tarihinde kesin olarak, istinaf başvurusunun düzeltilerek esastan reddine dair karar vermiştir. Bu kapsamda karar tarihinde yürürlükte bulunan Avukatlık Asgari Ücret Tarifesi gereğince </w:t>
      </w:r>
      <w:r w:rsidRPr="003B3F46">
        <w:rPr>
          <w:color w:val="010000"/>
        </w:rPr>
        <w:lastRenderedPageBreak/>
        <w:t>4.360 TL maktu vekâlet ücretinin Hazineden alınarak başvurucuya verilmesine dair cümle eklendiği anlaşılmıştır.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 xml:space="preserve">10. Nihai karar olan istinaf ilamına ilişkin olarak Ulusal Yargı Ağı Bilişim Sistemi (UYAP) evrak işlem kütüğü üzerinde yapılan incelemede, yargılama sürecinde müdafi olarak görev yapan ve bireysel başvuruda da vekil olarak başvurucuyu temsil eden </w:t>
      </w:r>
      <w:proofErr w:type="gramStart"/>
      <w:r w:rsidRPr="003B3F46">
        <w:rPr>
          <w:color w:val="010000"/>
        </w:rPr>
        <w:t>avukat</w:t>
      </w:r>
      <w:proofErr w:type="gramEnd"/>
      <w:r w:rsidRPr="003B3F46">
        <w:rPr>
          <w:color w:val="010000"/>
        </w:rPr>
        <w:t xml:space="preserve"> Mesut Ataman tarafından ilgili kararın 12/12/2018 günü saat 11.07.10’da açılarak okunduğu tespit edilmiştir.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11.</w:t>
      </w:r>
      <w:r w:rsidR="003B3F46" w:rsidRPr="003B3F46">
        <w:rPr>
          <w:color w:val="010000"/>
        </w:rPr>
        <w:t xml:space="preserve"> </w:t>
      </w:r>
      <w:r w:rsidRPr="003B3F46">
        <w:rPr>
          <w:color w:val="010000"/>
        </w:rPr>
        <w:t>Bununla birlikte başvurucu vekili, tebligat yapılmaksızın nihai kararı 5/3/2019 tarihinde UYAP üzerinden öğrendiğini belirtmektedir.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12.</w:t>
      </w:r>
      <w:r w:rsidR="003B3F46" w:rsidRPr="003B3F46">
        <w:rPr>
          <w:color w:val="010000"/>
        </w:rPr>
        <w:t xml:space="preserve"> </w:t>
      </w:r>
      <w:r w:rsidRPr="003B3F46">
        <w:rPr>
          <w:color w:val="010000"/>
        </w:rPr>
        <w:t>22/3/2019 tarihinde bireysel başvuruda bulunulmuştur.</w:t>
      </w:r>
    </w:p>
    <w:p w:rsidR="007169E3" w:rsidRPr="003B3F46" w:rsidRDefault="00853ADF" w:rsidP="003B3F46">
      <w:pPr>
        <w:widowControl/>
        <w:suppressAutoHyphens w:val="0"/>
        <w:spacing w:after="200"/>
        <w:ind w:left="283" w:right="283" w:firstLine="567"/>
        <w:jc w:val="both"/>
        <w:rPr>
          <w:color w:val="010000"/>
        </w:rPr>
      </w:pPr>
      <w:r w:rsidRPr="003B3F46">
        <w:rPr>
          <w:b/>
          <w:color w:val="010000"/>
        </w:rPr>
        <w:t>IV.</w:t>
      </w:r>
      <w:r w:rsidR="003B3F46" w:rsidRPr="003B3F46">
        <w:rPr>
          <w:color w:val="010000"/>
        </w:rPr>
        <w:t xml:space="preserve"> </w:t>
      </w:r>
      <w:r w:rsidRPr="003B3F46">
        <w:rPr>
          <w:b/>
          <w:color w:val="010000"/>
        </w:rPr>
        <w:t>İNCELEME VE GEREKÇE</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13.</w:t>
      </w:r>
      <w:r w:rsidR="003B3F46" w:rsidRPr="003B3F46">
        <w:rPr>
          <w:color w:val="010000"/>
        </w:rPr>
        <w:t xml:space="preserve"> </w:t>
      </w:r>
      <w:r w:rsidRPr="003B3F46">
        <w:rPr>
          <w:color w:val="010000"/>
        </w:rPr>
        <w:t>Mahkemenin 18/11/2020 tarihinde yapmış olduğu toplantıda başvuru incelenip gereği düşünüldü:</w:t>
      </w:r>
    </w:p>
    <w:p w:rsidR="007169E3" w:rsidRPr="003B3F46" w:rsidRDefault="00853ADF" w:rsidP="003B3F46">
      <w:pPr>
        <w:widowControl/>
        <w:suppressAutoHyphens w:val="0"/>
        <w:spacing w:after="200"/>
        <w:ind w:left="283" w:right="283" w:firstLine="567"/>
        <w:jc w:val="both"/>
        <w:rPr>
          <w:color w:val="010000"/>
        </w:rPr>
      </w:pPr>
      <w:r w:rsidRPr="003B3F46">
        <w:rPr>
          <w:b/>
          <w:color w:val="010000"/>
        </w:rPr>
        <w:t>A.</w:t>
      </w:r>
      <w:r w:rsidR="003B3F46" w:rsidRPr="003B3F46">
        <w:rPr>
          <w:color w:val="010000"/>
        </w:rPr>
        <w:t xml:space="preserve"> </w:t>
      </w:r>
      <w:r w:rsidRPr="003B3F46">
        <w:rPr>
          <w:b/>
          <w:color w:val="010000"/>
        </w:rPr>
        <w:t xml:space="preserve">Başvurucunun İddiaları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14.</w:t>
      </w:r>
      <w:r w:rsidR="003B3F46" w:rsidRPr="003B3F46">
        <w:rPr>
          <w:color w:val="010000"/>
        </w:rPr>
        <w:t xml:space="preserve"> </w:t>
      </w:r>
      <w:r w:rsidRPr="003B3F46">
        <w:rPr>
          <w:color w:val="010000"/>
        </w:rPr>
        <w:t>Başvurucu, bireysel başvuru konusu yargılamanın uzun sürmesi nedeniyle makul sürede yargılanma hakkının ihlal edildiğini ileri sürmüştür.</w:t>
      </w:r>
    </w:p>
    <w:p w:rsidR="007169E3" w:rsidRPr="003B3F46" w:rsidRDefault="00853ADF" w:rsidP="003B3F46">
      <w:pPr>
        <w:widowControl/>
        <w:suppressAutoHyphens w:val="0"/>
        <w:spacing w:after="200"/>
        <w:ind w:left="283" w:right="283" w:firstLine="567"/>
        <w:jc w:val="both"/>
        <w:rPr>
          <w:color w:val="010000"/>
        </w:rPr>
      </w:pPr>
      <w:r w:rsidRPr="003B3F46">
        <w:rPr>
          <w:b/>
          <w:color w:val="010000"/>
        </w:rPr>
        <w:t>B.</w:t>
      </w:r>
      <w:r w:rsidR="003B3F46" w:rsidRPr="003B3F46">
        <w:rPr>
          <w:color w:val="010000"/>
        </w:rPr>
        <w:t xml:space="preserve"> </w:t>
      </w:r>
      <w:r w:rsidRPr="003B3F46">
        <w:rPr>
          <w:b/>
          <w:color w:val="010000"/>
        </w:rPr>
        <w:t>Değerlendirme</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15.</w:t>
      </w:r>
      <w:r w:rsidR="003B3F46" w:rsidRPr="003B3F46">
        <w:rPr>
          <w:color w:val="010000"/>
        </w:rPr>
        <w:t xml:space="preserve"> </w:t>
      </w:r>
      <w:r w:rsidRPr="003B3F46">
        <w:rPr>
          <w:color w:val="010000"/>
        </w:rPr>
        <w:t>30/3/2011 tarihli ve 6216 sayılı Anayasa Mahkemesinin Kuruluşu ve Yargılama Usulleri Hakkında Kanun'un "</w:t>
      </w:r>
      <w:r w:rsidRPr="003B3F46">
        <w:rPr>
          <w:i/>
          <w:iCs/>
          <w:color w:val="010000"/>
        </w:rPr>
        <w:t>Bireysel başvuru usulü</w:t>
      </w:r>
      <w:r w:rsidRPr="003B3F46">
        <w:rPr>
          <w:color w:val="010000"/>
        </w:rPr>
        <w:t>" kenar başlıklı 47. maddesinin (5) numaralı fıkrası şöyledir: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w:t>
      </w:r>
      <w:r w:rsidRPr="003B3F46">
        <w:rPr>
          <w:i/>
          <w:iCs/>
          <w:color w:val="010000"/>
          <w:sz w:val="22"/>
        </w:rPr>
        <w:t xml:space="preserve">Bireysel başvurunun, başvuru </w:t>
      </w:r>
      <w:proofErr w:type="spellStart"/>
      <w:r w:rsidRPr="003B3F46">
        <w:rPr>
          <w:i/>
          <w:iCs/>
          <w:color w:val="010000"/>
          <w:sz w:val="22"/>
        </w:rPr>
        <w:t>yollannın</w:t>
      </w:r>
      <w:proofErr w:type="spellEnd"/>
      <w:r w:rsidRPr="003B3F46">
        <w:rPr>
          <w:i/>
          <w:iCs/>
          <w:color w:val="010000"/>
          <w:sz w:val="22"/>
        </w:rPr>
        <w:t xml:space="preserve"> tüketildiği tarihten; başvuru yolu öngörülmemişse ihlalin öğrenildiği tarihten itibaren otuz gün içinde yapılması gerekir. Haklı bir mazereti nedeniyle süresi içinde başvuramayanlar, mazeretin kalktığı tarihten itibaren onbeş gün içinde ve mazeretlerini belgeleyen delillerle birlikte başvurabilirler ...</w:t>
      </w:r>
      <w:r w:rsidRPr="003B3F46">
        <w:rPr>
          <w:color w:val="010000"/>
        </w:rPr>
        <w:t xml:space="preserve">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16.</w:t>
      </w:r>
      <w:r w:rsidR="003B3F46" w:rsidRPr="003B3F46">
        <w:rPr>
          <w:color w:val="010000"/>
        </w:rPr>
        <w:t xml:space="preserve"> </w:t>
      </w:r>
      <w:r w:rsidRPr="003B3F46">
        <w:rPr>
          <w:color w:val="010000"/>
        </w:rPr>
        <w:t>Anayasa Mahkemesi İçtüzüğü'nün (İçtüzük) "</w:t>
      </w:r>
      <w:r w:rsidRPr="003B3F46">
        <w:rPr>
          <w:i/>
          <w:iCs/>
          <w:color w:val="010000"/>
        </w:rPr>
        <w:t>Başvuru süresi ve mazeret</w:t>
      </w:r>
      <w:r w:rsidRPr="003B3F46">
        <w:rPr>
          <w:color w:val="010000"/>
        </w:rPr>
        <w:t xml:space="preserve">" kenar başlıklı 64. maddesinin (1) numaralı fıkrası şöyledir: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w:t>
      </w:r>
      <w:r w:rsidRPr="003B3F46">
        <w:rPr>
          <w:i/>
          <w:iCs/>
          <w:color w:val="010000"/>
          <w:sz w:val="22"/>
        </w:rPr>
        <w:t>Bireysel başvurunun, başvuru yolla</w:t>
      </w:r>
      <w:r w:rsidR="003B3F46">
        <w:rPr>
          <w:i/>
          <w:iCs/>
          <w:color w:val="010000"/>
          <w:sz w:val="22"/>
        </w:rPr>
        <w:t>rı</w:t>
      </w:r>
      <w:bookmarkStart w:id="0" w:name="_GoBack"/>
      <w:bookmarkEnd w:id="0"/>
      <w:r w:rsidRPr="003B3F46">
        <w:rPr>
          <w:i/>
          <w:iCs/>
          <w:color w:val="010000"/>
          <w:sz w:val="22"/>
        </w:rPr>
        <w:t>nın tüketildiği tarihten, başvuru yolu öngörülmemişse ihlalin öğrenildiği tarihten itibaren otuz gün içinde yapılması gerekir.</w:t>
      </w:r>
      <w:r w:rsidRPr="003B3F46">
        <w:rPr>
          <w:color w:val="010000"/>
        </w:rPr>
        <w:t>"</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17.</w:t>
      </w:r>
      <w:r w:rsidR="003B3F46" w:rsidRPr="003B3F46">
        <w:rPr>
          <w:color w:val="010000"/>
        </w:rPr>
        <w:t xml:space="preserve"> </w:t>
      </w:r>
      <w:r w:rsidRPr="003B3F46">
        <w:rPr>
          <w:color w:val="010000"/>
        </w:rPr>
        <w:t>Bireysel başvurunun ön şartlarından biri de otuz günlük süre kuralıdır. Sürenin başvurunun her aşamasında dikkate alınması gerekir (</w:t>
      </w:r>
      <w:r w:rsidRPr="003B3F46">
        <w:rPr>
          <w:i/>
          <w:iCs/>
          <w:color w:val="010000"/>
        </w:rPr>
        <w:t>Deniz Baykal,</w:t>
      </w:r>
      <w:r w:rsidRPr="003B3F46">
        <w:rPr>
          <w:color w:val="010000"/>
        </w:rPr>
        <w:t xml:space="preserve"> B. No: 2013/7521, 4/12/2013, § 32). Otuz günlük süreye ilişkin başlangıç tarihinin tespitinde kanun hükmü gereği </w:t>
      </w:r>
      <w:r w:rsidRPr="003B3F46">
        <w:rPr>
          <w:i/>
          <w:iCs/>
          <w:color w:val="010000"/>
        </w:rPr>
        <w:t>öğrenme</w:t>
      </w:r>
      <w:r w:rsidRPr="003B3F46">
        <w:rPr>
          <w:color w:val="010000"/>
        </w:rPr>
        <w:t xml:space="preserve"> tarihi esas alınmalıdır.</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18.</w:t>
      </w:r>
      <w:r w:rsidR="003B3F46" w:rsidRPr="003B3F46">
        <w:rPr>
          <w:color w:val="010000"/>
        </w:rPr>
        <w:t xml:space="preserve"> </w:t>
      </w:r>
      <w:r w:rsidRPr="003B3F46">
        <w:rPr>
          <w:color w:val="010000"/>
        </w:rPr>
        <w:t xml:space="preserve">Bireysel başvuruların 6216 sayılı Kanun'un 47. maddesinin (5) numaralı fıkrası ile İçtüzük'ün 64. maddesinin (1) numaralı fıkrası uyarınca başvuru yollarının tüketildiği tarihten, başvuru yolu öngörülmemiş ise ihlalin öğrenildiği tarihten itibaren otuz gün içinde yapılması gerekmektedir. Anılan düzenlemelerde başvuru yolu öngörülen durumlarda bireysel başvuru süresinin başlangıcına ilişkin olarak </w:t>
      </w:r>
      <w:r w:rsidRPr="003B3F46">
        <w:rPr>
          <w:i/>
          <w:iCs/>
          <w:color w:val="010000"/>
        </w:rPr>
        <w:t>başvuru yollarının tüketildiği</w:t>
      </w:r>
      <w:r w:rsidRPr="003B3F46">
        <w:rPr>
          <w:color w:val="010000"/>
        </w:rPr>
        <w:t xml:space="preserve"> tarihten söz edilmekte ise de haberdar olunmayan bir hususta başvuru yapılamayacağı dikkate alınarak bu ibarenin </w:t>
      </w:r>
      <w:r w:rsidRPr="003B3F46">
        <w:rPr>
          <w:i/>
          <w:iCs/>
          <w:color w:val="010000"/>
        </w:rPr>
        <w:t>nihai kararın gerekçesinin öğrenildiği tarih</w:t>
      </w:r>
      <w:r w:rsidRPr="003B3F46">
        <w:rPr>
          <w:color w:val="010000"/>
        </w:rPr>
        <w:t xml:space="preserve"> olarak anlaşılması gerekir (</w:t>
      </w:r>
      <w:r w:rsidRPr="003B3F46">
        <w:rPr>
          <w:i/>
          <w:iCs/>
          <w:color w:val="010000"/>
        </w:rPr>
        <w:t>A.C. ve diğerleri</w:t>
      </w:r>
      <w:r w:rsidRPr="003B3F46">
        <w:rPr>
          <w:color w:val="010000"/>
        </w:rPr>
        <w:t xml:space="preserve"> [GK], B. No: 2013/1827, 25/2/2016, § 25).</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19.</w:t>
      </w:r>
      <w:r w:rsidR="003B3F46" w:rsidRPr="003B3F46">
        <w:rPr>
          <w:color w:val="010000"/>
        </w:rPr>
        <w:t xml:space="preserve"> </w:t>
      </w:r>
      <w:r w:rsidRPr="003B3F46">
        <w:rPr>
          <w:color w:val="010000"/>
        </w:rPr>
        <w:t>Bireysel başvuru süresinin işlemeye başlaması yönünden nihai kararın gerekçesinin tebliği, öğrenme şekillerinden biridir (</w:t>
      </w:r>
      <w:r w:rsidRPr="003B3F46">
        <w:rPr>
          <w:i/>
          <w:iCs/>
          <w:color w:val="010000"/>
        </w:rPr>
        <w:t>Mehmet Ali Kurtuldu</w:t>
      </w:r>
      <w:r w:rsidRPr="003B3F46">
        <w:rPr>
          <w:color w:val="010000"/>
        </w:rPr>
        <w:t xml:space="preserve">, B. No: </w:t>
      </w:r>
      <w:r w:rsidRPr="003B3F46">
        <w:rPr>
          <w:color w:val="010000"/>
        </w:rPr>
        <w:lastRenderedPageBreak/>
        <w:t xml:space="preserve">2013/5504, 28/5/2014, § 27). Ancak öğrenme, gerekçeli kararın tebliği ile sınırlı olarak gerçekleşmez; başka şekillerde de öğrenme söz konusu olabilir. Başvurucunun nihai kararın gerekçesini dava dosyasını incelemek suretiyle öğrenmesi mümkündür. Bu doğrultuda </w:t>
      </w:r>
      <w:r w:rsidRPr="003B3F46">
        <w:rPr>
          <w:i/>
          <w:iCs/>
          <w:color w:val="010000"/>
        </w:rPr>
        <w:t>dosyadan suret alınması</w:t>
      </w:r>
      <w:r w:rsidRPr="003B3F46">
        <w:rPr>
          <w:color w:val="010000"/>
        </w:rPr>
        <w:t xml:space="preserve"> gibi hâllerde başvurucunun gerekçeli kararı öğrendiği kabul edilebilir. Başvurucuların nihai kararın gerekçesini </w:t>
      </w:r>
      <w:r w:rsidRPr="003B3F46">
        <w:rPr>
          <w:i/>
          <w:iCs/>
          <w:color w:val="010000"/>
        </w:rPr>
        <w:t>öğrendiklerini beyan ettikleri tarih</w:t>
      </w:r>
      <w:r w:rsidRPr="003B3F46">
        <w:rPr>
          <w:color w:val="010000"/>
        </w:rPr>
        <w:t xml:space="preserve"> de bireysel başvuru süresinin başlangıcı olarak ele alınabilir (</w:t>
      </w:r>
      <w:r w:rsidRPr="003B3F46">
        <w:rPr>
          <w:i/>
          <w:iCs/>
          <w:color w:val="010000"/>
        </w:rPr>
        <w:t>İlyas Türedi</w:t>
      </w:r>
      <w:r w:rsidRPr="003B3F46">
        <w:rPr>
          <w:color w:val="010000"/>
        </w:rPr>
        <w:t>, B. No: 2013/1267, 13/6/2013, §§ 21, 22).</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20.</w:t>
      </w:r>
      <w:r w:rsidR="003B3F46" w:rsidRPr="003B3F46">
        <w:rPr>
          <w:color w:val="010000"/>
        </w:rPr>
        <w:t xml:space="preserve"> </w:t>
      </w:r>
      <w:r w:rsidRPr="003B3F46">
        <w:rPr>
          <w:color w:val="010000"/>
        </w:rPr>
        <w:t>Diğer yandan somut olayın koşullarında başvurucunun nihai karardan daha erken bir tarihte haberdar olması gerektiğinin değerlendirilmesi durumunda Anayasa Mahkemesi, başvuru süresinin başlangıcı için bu tarihi de esas alabilir (</w:t>
      </w:r>
      <w:r w:rsidRPr="003B3F46">
        <w:rPr>
          <w:i/>
          <w:iCs/>
          <w:color w:val="010000"/>
        </w:rPr>
        <w:t>Ögeday Akın</w:t>
      </w:r>
      <w:r w:rsidRPr="003B3F46">
        <w:rPr>
          <w:color w:val="010000"/>
        </w:rPr>
        <w:t>, B. No: 2014/2345, 10/6/2015, § 38).</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21.</w:t>
      </w:r>
      <w:r w:rsidR="003B3F46" w:rsidRPr="003B3F46">
        <w:rPr>
          <w:color w:val="010000"/>
        </w:rPr>
        <w:t xml:space="preserve"> </w:t>
      </w:r>
      <w:r w:rsidRPr="003B3F46">
        <w:rPr>
          <w:color w:val="010000"/>
        </w:rPr>
        <w:t>Bu bağlamda Anayasa Mahkemesi, henüz avukatına tebliğ edilmemiş olmakla birlikte nihai karar olan gerekçeli Yargıtay ilamının ilk derece mahkemesine ulaştığı, başvurucunun avukatının ise bireysel başvuru formunda bu karardan haberdar olduklarını belirttiği tarihten daha önce ilk derece mahkemesine söz konusu ilamın tebliğe çıkarılması için birden fazla talepte bulunduğunun anlaşıldığı bir bireysel başvuruda başvuru süresinin avukatın ilk yazılı talep tarihinden itibaren işlemeye başladığını kabul etmiştir. Anılan kararda Anayasa Mahkemesi, gerekçeli nihai karar ilk derece mahkemesine ulaştığından başvurucunun haberdar olduğu ve bu durumda UYAP Avukat Bilgi Sistemi'ni kullandığı görülen başvurucu vekilinin nihai karar sonucunu ve gerekçesini kesin olarak öğrenme olanağına sahip bulunduğu konusunda şüphe olmadığını ifade etmiştir (</w:t>
      </w:r>
      <w:r w:rsidRPr="003B3F46">
        <w:rPr>
          <w:i/>
          <w:iCs/>
          <w:color w:val="010000"/>
        </w:rPr>
        <w:t>Suat Bircan</w:t>
      </w:r>
      <w:r w:rsidRPr="003B3F46">
        <w:rPr>
          <w:color w:val="010000"/>
        </w:rPr>
        <w:t xml:space="preserve"> [GK], B. No: 2014/16800, 1/12/2016, §§ 25-27).</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22.</w:t>
      </w:r>
      <w:r w:rsidR="003B3F46" w:rsidRPr="003B3F46">
        <w:rPr>
          <w:color w:val="010000"/>
        </w:rPr>
        <w:t xml:space="preserve"> </w:t>
      </w:r>
      <w:r w:rsidRPr="003B3F46">
        <w:rPr>
          <w:color w:val="010000"/>
        </w:rPr>
        <w:t>UYAP, kullanıcıların kendilerini ilgilendiren bilgi ve belgelere ihtiyaç duymaları hâlinde hızlı ve kolay şekilde bu belgelere ulaşabilmelerini sağlamaktadır. Her türlü bilgi ve belge alışverişi de UYAP üzerinden elektronik ortamda ve anlık denebilecek kısa sürede gerçekleştirilebilmektedir (</w:t>
      </w:r>
      <w:r w:rsidRPr="003B3F46">
        <w:rPr>
          <w:i/>
          <w:iCs/>
          <w:color w:val="010000"/>
        </w:rPr>
        <w:t>Hüseyin Aşkan</w:t>
      </w:r>
      <w:r w:rsidRPr="003B3F46">
        <w:rPr>
          <w:color w:val="010000"/>
        </w:rPr>
        <w:t xml:space="preserve">, B. No: 2017/15649, 21/7/2020, § 26).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23.</w:t>
      </w:r>
      <w:r w:rsidR="003B3F46" w:rsidRPr="003B3F46">
        <w:rPr>
          <w:color w:val="010000"/>
        </w:rPr>
        <w:t xml:space="preserve"> </w:t>
      </w:r>
      <w:r w:rsidRPr="003B3F46">
        <w:rPr>
          <w:color w:val="010000"/>
        </w:rPr>
        <w:t>Yargı sisteminin parçası olarak avukatlar; sistemde vekâleti bulunan dava dosyalarını internet üzerinden UYAP'tan yararlanarak inceleyebilmekte, bu dosyalardan suret alabilmekte, elektronik imza ile sistemdeki dava dosyalarına evrak ekleyebilmekte, yeni dava dosyası açabilmekte ve harç ödeyebilmektedirler. Ayrıca nihai kararın gerekçesine erişmenin mümkün hâle geldiği durumlarda başvurucu avukatları bu sistemi kullanmak suretiyle nihai kararın gerekçesini kesin olarak öğrenme imkânını da elde etmektedirler (</w:t>
      </w:r>
      <w:r w:rsidRPr="003B3F46">
        <w:rPr>
          <w:i/>
          <w:iCs/>
          <w:color w:val="010000"/>
        </w:rPr>
        <w:t>Hüseyin Aşkan</w:t>
      </w:r>
      <w:r w:rsidRPr="003B3F46">
        <w:rPr>
          <w:color w:val="010000"/>
        </w:rPr>
        <w:t xml:space="preserve">, § 27).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24.</w:t>
      </w:r>
      <w:r w:rsidR="003B3F46" w:rsidRPr="003B3F46">
        <w:rPr>
          <w:color w:val="010000"/>
        </w:rPr>
        <w:t xml:space="preserve"> </w:t>
      </w:r>
      <w:r w:rsidRPr="003B3F46">
        <w:rPr>
          <w:color w:val="010000"/>
        </w:rPr>
        <w:t>Tüm bu işlemler yapılırken bilgi ve belgelerin son hâli, değişmez ve güvenli bir şekilde veri tabanında saklanmakta ve belgeler üzerinde yapılan işlemler UYAP evrak işlem kütüğünde kayıt altına alınmaktadır. Evrak işlem kütüğü, evrak üzerinde yapılan işlemleri (doküman oluşturma, düzenleme, imzalama, açma, okuma ve yazdırma gibi) kayıt altına almaktadır. Kayıt altına alınan evrak üzerindeki işlemleri yapan şahsın adı soyadı, sıfatı, birimi, yapılan işlemin niteliği, tarih ve saati sistemde saklanmaktadır (</w:t>
      </w:r>
      <w:r w:rsidRPr="003B3F46">
        <w:rPr>
          <w:i/>
          <w:iCs/>
          <w:color w:val="010000"/>
        </w:rPr>
        <w:t>Hüseyin Aşkan</w:t>
      </w:r>
      <w:r w:rsidRPr="003B3F46">
        <w:rPr>
          <w:color w:val="010000"/>
        </w:rPr>
        <w:t xml:space="preserve">, § 28).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25.</w:t>
      </w:r>
      <w:r w:rsidR="003B3F46" w:rsidRPr="003B3F46">
        <w:rPr>
          <w:color w:val="010000"/>
        </w:rPr>
        <w:t xml:space="preserve"> </w:t>
      </w:r>
      <w:r w:rsidRPr="003B3F46">
        <w:rPr>
          <w:color w:val="010000"/>
        </w:rPr>
        <w:t xml:space="preserve">Yargılama sürecinde nihai karar olan Bursa Bölge Adliye Mahkemesi 6. Ceza Dairesinin ilamına ilişkin olarak UYAP evrak işlem kütüğü üzerinde yapılan incelemede de ilgili kararın başvurucunun avukatı Mesut Ataman tarafından 12/12/2018 günü saat 11.07.10’da açılarak okunduğu tespit edilmiş ve buna ilişkin olarak ekran çıktısı alınıp dosya arasına konulmuştur. Dolayısıyla bu işlemi yapan ilgililerden işlem sırasında nihai kararın sonucunu öğrenmeleri beklenir. Böyle bir durumda işlem yapılırken nihai kararın </w:t>
      </w:r>
      <w:r w:rsidRPr="003B3F46">
        <w:rPr>
          <w:color w:val="010000"/>
        </w:rPr>
        <w:lastRenderedPageBreak/>
        <w:t xml:space="preserve">sonucunun öğrenildiği kabul edileceğinden bireysel başvuru süresinin bu tarihten itibaren başlatılması gerekir. </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26.</w:t>
      </w:r>
      <w:r w:rsidR="003B3F46" w:rsidRPr="003B3F46">
        <w:rPr>
          <w:color w:val="010000"/>
        </w:rPr>
        <w:t xml:space="preserve"> </w:t>
      </w:r>
      <w:r w:rsidRPr="003B3F46">
        <w:rPr>
          <w:color w:val="010000"/>
        </w:rPr>
        <w:t xml:space="preserve">Somut olayda Bursa Bölge Adliye Mahkemesi 6. Ceza Dairesi ilamının başvurucunun avukatı tarafından UYAP üzerinden okunduğu, bu kapsamda 12/12/2018 tarihinde bireysel başvuruya ilişkin nihai karardan haberdar olunduğunun ve bu doğrultuda bireysel başvuru süresinin 12/12/2018 tarihinden itibaren işlemeye başladığının kabul edilmesi gerekir. Nitekim ilgili usul kuralları uyarınca sürenin münhasıran tebliğden itibaren işlemeye başlayacağının kabul edildiği uygulamaların aksine bireysel başvuru yolunda başvuru süresi, ihlalin öğrenilmesi esasına bağlanmıştır (benzer yönde bkz. </w:t>
      </w:r>
      <w:r w:rsidRPr="003B3F46">
        <w:rPr>
          <w:i/>
          <w:iCs/>
          <w:color w:val="010000"/>
        </w:rPr>
        <w:t>Mehmet Özcan,</w:t>
      </w:r>
      <w:r w:rsidRPr="003B3F46">
        <w:rPr>
          <w:color w:val="010000"/>
        </w:rPr>
        <w:t xml:space="preserve"> B. No: 2019/6266, 15/1/2020, § 27).</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27.</w:t>
      </w:r>
      <w:r w:rsidR="003B3F46" w:rsidRPr="003B3F46">
        <w:rPr>
          <w:color w:val="010000"/>
        </w:rPr>
        <w:t xml:space="preserve"> </w:t>
      </w:r>
      <w:r w:rsidRPr="003B3F46">
        <w:rPr>
          <w:color w:val="010000"/>
        </w:rPr>
        <w:t xml:space="preserve">Sonuç olarak bireysel başvuru konusu yargılama sürecine ilişkin nihai karardan 12/12/2018 tarihinde haberdar olduğu anlaşılan başvurucunun otuz günlük bireysel başvurusu süresinden sonra, 22/3/2019 tarihinde gerçekleştirdiği bireysel başvurunun </w:t>
      </w:r>
      <w:r w:rsidRPr="003B3F46">
        <w:rPr>
          <w:i/>
          <w:iCs/>
          <w:color w:val="010000"/>
        </w:rPr>
        <w:t xml:space="preserve">süre aşımı nedeniyle </w:t>
      </w:r>
      <w:r w:rsidRPr="003B3F46">
        <w:rPr>
          <w:color w:val="010000"/>
        </w:rPr>
        <w:t>kabul edilemez olduğuna karar verilmesi gerekir.</w:t>
      </w:r>
    </w:p>
    <w:p w:rsidR="007169E3" w:rsidRPr="003B3F46" w:rsidRDefault="00853ADF" w:rsidP="003B3F46">
      <w:pPr>
        <w:widowControl/>
        <w:suppressAutoHyphens w:val="0"/>
        <w:spacing w:after="200"/>
        <w:ind w:left="283" w:right="283" w:firstLine="567"/>
        <w:jc w:val="both"/>
        <w:rPr>
          <w:color w:val="010000"/>
        </w:rPr>
      </w:pPr>
      <w:r w:rsidRPr="003B3F46">
        <w:rPr>
          <w:b/>
          <w:color w:val="010000"/>
        </w:rPr>
        <w:t>V.</w:t>
      </w:r>
      <w:r w:rsidR="003B3F46" w:rsidRPr="003B3F46">
        <w:rPr>
          <w:color w:val="010000"/>
        </w:rPr>
        <w:t xml:space="preserve"> </w:t>
      </w:r>
      <w:r w:rsidRPr="003B3F46">
        <w:rPr>
          <w:b/>
          <w:color w:val="010000"/>
        </w:rPr>
        <w:t>HÜKÜM</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Açıklanan gerekçelerle;</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A.</w:t>
      </w:r>
      <w:r w:rsidR="003B3F46" w:rsidRPr="003B3F46">
        <w:rPr>
          <w:color w:val="010000"/>
        </w:rPr>
        <w:t xml:space="preserve"> </w:t>
      </w:r>
      <w:r w:rsidRPr="003B3F46">
        <w:rPr>
          <w:color w:val="010000"/>
        </w:rPr>
        <w:t xml:space="preserve">Başvurunun </w:t>
      </w:r>
      <w:r w:rsidRPr="003B3F46">
        <w:rPr>
          <w:i/>
          <w:iCs/>
          <w:color w:val="010000"/>
        </w:rPr>
        <w:t>süre aşımı</w:t>
      </w:r>
      <w:r w:rsidRPr="003B3F46">
        <w:rPr>
          <w:color w:val="010000"/>
        </w:rPr>
        <w:t xml:space="preserve"> nedeniyle KABUL EDİLEMEZ OLDUĞUNA,</w:t>
      </w:r>
    </w:p>
    <w:p w:rsidR="007169E3" w:rsidRPr="003B3F46" w:rsidRDefault="00853ADF" w:rsidP="003B3F46">
      <w:pPr>
        <w:widowControl/>
        <w:suppressAutoHyphens w:val="0"/>
        <w:spacing w:after="200"/>
        <w:ind w:left="283" w:right="283" w:firstLine="567"/>
        <w:jc w:val="both"/>
        <w:rPr>
          <w:color w:val="010000"/>
        </w:rPr>
      </w:pPr>
      <w:r w:rsidRPr="003B3F46">
        <w:rPr>
          <w:color w:val="010000"/>
        </w:rPr>
        <w:t>B.</w:t>
      </w:r>
      <w:r w:rsidR="003B3F46" w:rsidRPr="003B3F46">
        <w:rPr>
          <w:color w:val="010000"/>
        </w:rPr>
        <w:t xml:space="preserve"> </w:t>
      </w:r>
      <w:r w:rsidRPr="003B3F46">
        <w:rPr>
          <w:color w:val="010000"/>
        </w:rPr>
        <w:t>Yargılama giderlerinin başvurucu üzerinde BIRAKILMASINA 18/11/2020 tarihinde OYBİRLİĞİYLE karar verildi.</w:t>
      </w:r>
    </w:p>
    <w:sectPr w:rsidR="007169E3" w:rsidRPr="003B3F46" w:rsidSect="003B3F46">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3ADF" w:rsidRDefault="00853ADF">
      <w:r>
        <w:separator/>
      </w:r>
    </w:p>
  </w:endnote>
  <w:endnote w:type="continuationSeparator" w:id="0">
    <w:p w:rsidR="00853ADF" w:rsidRDefault="00853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9E3" w:rsidRDefault="00853AD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7169E3" w:rsidRDefault="007169E3">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3ADF" w:rsidRDefault="00853ADF">
      <w:r>
        <w:separator/>
      </w:r>
    </w:p>
  </w:footnote>
  <w:footnote w:type="continuationSeparator" w:id="0">
    <w:p w:rsidR="00853ADF" w:rsidRDefault="00853A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9E3" w:rsidRDefault="00853ADF">
    <w:pPr>
      <w:pStyle w:val="stBilgi"/>
      <w:tabs>
        <w:tab w:val="left" w:pos="2040"/>
      </w:tabs>
      <w:spacing w:line="288" w:lineRule="exact"/>
    </w:pPr>
    <w:r>
      <w:t>Başvuru Numarası</w:t>
    </w:r>
    <w:r>
      <w:tab/>
      <w:t>: 2019/9869</w:t>
    </w:r>
  </w:p>
  <w:p w:rsidR="007169E3" w:rsidRDefault="00853ADF">
    <w:pPr>
      <w:pStyle w:val="stBilgi"/>
      <w:tabs>
        <w:tab w:val="left" w:pos="2040"/>
      </w:tabs>
      <w:spacing w:line="288" w:lineRule="exact"/>
    </w:pPr>
    <w:r>
      <w:t>Karar Tarihi</w:t>
    </w:r>
    <w:r>
      <w:tab/>
      <w:t xml:space="preserve">: 18/11/2020 </w:t>
    </w:r>
  </w:p>
  <w:p w:rsidR="003B3F46" w:rsidRDefault="003B3F46">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3D6"/>
    <w:rsid w:val="000D33D6"/>
    <w:rsid w:val="003B3F46"/>
    <w:rsid w:val="007169E3"/>
    <w:rsid w:val="00853AD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480194B"/>
  <w15:chartTrackingRefBased/>
  <w15:docId w15:val="{3EA53A59-E560-44EA-9D96-199CD62DE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63746527614">
    <w:name w:val="edf_1463746527614"/>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505891519586">
    <w:name w:val="edf_1505891519586"/>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85262276077">
    <w:name w:val="edf_1485262276077"/>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1430</Words>
  <Characters>8157</Characters>
  <Application>Microsoft Office Word</Application>
  <DocSecurity>0</DocSecurity>
  <Lines>67</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Sibel YÖNDEM</cp:lastModifiedBy>
  <cp:revision>3</cp:revision>
  <cp:lastPrinted>1899-12-31T21:00:00Z</cp:lastPrinted>
  <dcterms:created xsi:type="dcterms:W3CDTF">2020-12-28T09:04:00Z</dcterms:created>
  <dcterms:modified xsi:type="dcterms:W3CDTF">2020-12-31T19:41:00Z</dcterms:modified>
</cp:coreProperties>
</file>