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87586A" w:rsidRDefault="0087586A" w:rsidP="0087586A">
      <w:pPr>
        <w:widowControl/>
        <w:suppressAutoHyphens w:val="0"/>
        <w:spacing w:after="200"/>
        <w:ind w:left="283" w:right="283" w:firstLine="567"/>
        <w:jc w:val="both"/>
        <w:rPr>
          <w:b/>
          <w:color w:val="010000"/>
          <w:sz w:val="28"/>
        </w:rPr>
      </w:pPr>
    </w:p>
    <w:p w:rsidR="0087586A" w:rsidRDefault="0087586A" w:rsidP="0087586A">
      <w:pPr>
        <w:widowControl/>
        <w:suppressAutoHyphens w:val="0"/>
        <w:spacing w:after="200"/>
        <w:ind w:left="283" w:right="283" w:firstLine="567"/>
        <w:jc w:val="both"/>
        <w:rPr>
          <w:b/>
          <w:color w:val="010000"/>
          <w:sz w:val="28"/>
        </w:rPr>
      </w:pPr>
    </w:p>
    <w:p w:rsidR="0087586A" w:rsidRDefault="0087586A" w:rsidP="0087586A">
      <w:pPr>
        <w:widowControl/>
        <w:suppressAutoHyphens w:val="0"/>
        <w:spacing w:after="200"/>
        <w:ind w:left="283" w:right="283" w:firstLine="567"/>
        <w:jc w:val="both"/>
        <w:rPr>
          <w:b/>
          <w:color w:val="010000"/>
          <w:sz w:val="28"/>
        </w:rPr>
      </w:pPr>
    </w:p>
    <w:p w:rsidR="0087586A" w:rsidRDefault="0087586A" w:rsidP="0087586A">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212"/>
      </w:tblGrid>
      <w:tr w:rsidR="0087586A" w:rsidRPr="0087586A" w:rsidTr="0087586A">
        <w:tblPrEx>
          <w:tblCellMar>
            <w:top w:w="0" w:type="dxa"/>
            <w:bottom w:w="0" w:type="dxa"/>
          </w:tblCellMar>
        </w:tblPrEx>
        <w:trPr>
          <w:trHeight w:val="500"/>
          <w:jc w:val="center"/>
        </w:trPr>
        <w:tc>
          <w:tcPr>
            <w:tcW w:w="9212" w:type="dxa"/>
            <w:vAlign w:val="center"/>
          </w:tcPr>
          <w:p w:rsidR="0087586A" w:rsidRPr="0087586A" w:rsidRDefault="0087586A" w:rsidP="0087586A">
            <w:pPr>
              <w:widowControl/>
              <w:suppressAutoHyphens w:val="0"/>
              <w:spacing w:after="200"/>
              <w:ind w:right="283"/>
              <w:jc w:val="center"/>
              <w:rPr>
                <w:b/>
                <w:color w:val="010000"/>
                <w:sz w:val="28"/>
              </w:rPr>
            </w:pPr>
            <w:r>
              <w:rPr>
                <w:b/>
                <w:color w:val="010000"/>
                <w:sz w:val="28"/>
              </w:rPr>
              <w:t>TÜRKİYE CUMHURİYETİ</w:t>
            </w:r>
          </w:p>
        </w:tc>
      </w:tr>
      <w:tr w:rsidR="0087586A" w:rsidRPr="0087586A" w:rsidTr="0087586A">
        <w:tblPrEx>
          <w:tblCellMar>
            <w:top w:w="0" w:type="dxa"/>
            <w:bottom w:w="0" w:type="dxa"/>
          </w:tblCellMar>
        </w:tblPrEx>
        <w:trPr>
          <w:trHeight w:val="500"/>
          <w:jc w:val="center"/>
        </w:trPr>
        <w:tc>
          <w:tcPr>
            <w:tcW w:w="9212" w:type="dxa"/>
            <w:vAlign w:val="center"/>
          </w:tcPr>
          <w:p w:rsidR="0087586A" w:rsidRPr="0087586A" w:rsidRDefault="0087586A" w:rsidP="0087586A">
            <w:pPr>
              <w:widowControl/>
              <w:suppressAutoHyphens w:val="0"/>
              <w:spacing w:after="200"/>
              <w:ind w:right="283"/>
              <w:jc w:val="center"/>
              <w:rPr>
                <w:b/>
                <w:color w:val="010000"/>
                <w:sz w:val="32"/>
              </w:rPr>
            </w:pPr>
            <w:r>
              <w:rPr>
                <w:b/>
                <w:color w:val="010000"/>
                <w:sz w:val="32"/>
              </w:rPr>
              <w:t>ANAYASA MAHKEMESİ</w:t>
            </w:r>
          </w:p>
        </w:tc>
      </w:tr>
      <w:tr w:rsidR="0087586A" w:rsidRPr="0087586A" w:rsidTr="0087586A">
        <w:tblPrEx>
          <w:tblCellMar>
            <w:top w:w="0" w:type="dxa"/>
            <w:bottom w:w="0" w:type="dxa"/>
          </w:tblCellMar>
        </w:tblPrEx>
        <w:trPr>
          <w:trHeight w:val="500"/>
          <w:jc w:val="center"/>
        </w:trPr>
        <w:tc>
          <w:tcPr>
            <w:tcW w:w="9212" w:type="dxa"/>
            <w:vAlign w:val="center"/>
          </w:tcPr>
          <w:p w:rsidR="0087586A" w:rsidRPr="0087586A" w:rsidRDefault="0087586A" w:rsidP="0087586A">
            <w:pPr>
              <w:widowControl/>
              <w:suppressAutoHyphens w:val="0"/>
              <w:spacing w:after="200"/>
              <w:ind w:right="283"/>
              <w:jc w:val="center"/>
              <w:rPr>
                <w:b/>
                <w:color w:val="010000"/>
              </w:rPr>
            </w:pPr>
          </w:p>
        </w:tc>
      </w:tr>
      <w:tr w:rsidR="0087586A" w:rsidRPr="0087586A" w:rsidTr="0087586A">
        <w:tblPrEx>
          <w:tblCellMar>
            <w:top w:w="0" w:type="dxa"/>
            <w:bottom w:w="0" w:type="dxa"/>
          </w:tblCellMar>
        </w:tblPrEx>
        <w:trPr>
          <w:trHeight w:val="500"/>
          <w:jc w:val="center"/>
        </w:trPr>
        <w:tc>
          <w:tcPr>
            <w:tcW w:w="9212" w:type="dxa"/>
            <w:vAlign w:val="center"/>
          </w:tcPr>
          <w:p w:rsidR="0087586A" w:rsidRPr="0087586A" w:rsidRDefault="0087586A" w:rsidP="0087586A">
            <w:pPr>
              <w:widowControl/>
              <w:suppressAutoHyphens w:val="0"/>
              <w:spacing w:after="200"/>
              <w:ind w:right="283"/>
              <w:jc w:val="center"/>
              <w:rPr>
                <w:b/>
                <w:color w:val="010000"/>
              </w:rPr>
            </w:pPr>
          </w:p>
        </w:tc>
      </w:tr>
      <w:tr w:rsidR="0087586A" w:rsidRPr="0087586A" w:rsidTr="0087586A">
        <w:tblPrEx>
          <w:tblCellMar>
            <w:top w:w="0" w:type="dxa"/>
            <w:bottom w:w="0" w:type="dxa"/>
          </w:tblCellMar>
        </w:tblPrEx>
        <w:trPr>
          <w:trHeight w:val="500"/>
          <w:jc w:val="center"/>
        </w:trPr>
        <w:tc>
          <w:tcPr>
            <w:tcW w:w="9212" w:type="dxa"/>
            <w:vAlign w:val="center"/>
          </w:tcPr>
          <w:p w:rsidR="0087586A" w:rsidRPr="0087586A" w:rsidRDefault="0087586A" w:rsidP="0087586A">
            <w:pPr>
              <w:widowControl/>
              <w:suppressAutoHyphens w:val="0"/>
              <w:spacing w:after="200"/>
              <w:ind w:right="283"/>
              <w:jc w:val="center"/>
              <w:rPr>
                <w:b/>
                <w:color w:val="010000"/>
              </w:rPr>
            </w:pPr>
            <w:r>
              <w:rPr>
                <w:b/>
                <w:color w:val="010000"/>
              </w:rPr>
              <w:t>İKİNCİ BÖLÜM</w:t>
            </w:r>
          </w:p>
        </w:tc>
      </w:tr>
      <w:tr w:rsidR="0087586A" w:rsidRPr="0087586A" w:rsidTr="0087586A">
        <w:tblPrEx>
          <w:tblCellMar>
            <w:top w:w="0" w:type="dxa"/>
            <w:bottom w:w="0" w:type="dxa"/>
          </w:tblCellMar>
        </w:tblPrEx>
        <w:trPr>
          <w:trHeight w:val="500"/>
          <w:jc w:val="center"/>
        </w:trPr>
        <w:tc>
          <w:tcPr>
            <w:tcW w:w="9212" w:type="dxa"/>
            <w:vAlign w:val="center"/>
          </w:tcPr>
          <w:p w:rsidR="0087586A" w:rsidRPr="0087586A" w:rsidRDefault="0087586A" w:rsidP="0087586A">
            <w:pPr>
              <w:widowControl/>
              <w:suppressAutoHyphens w:val="0"/>
              <w:spacing w:after="200"/>
              <w:ind w:right="283"/>
              <w:jc w:val="center"/>
              <w:rPr>
                <w:b/>
                <w:color w:val="010000"/>
              </w:rPr>
            </w:pPr>
          </w:p>
        </w:tc>
      </w:tr>
      <w:tr w:rsidR="0087586A" w:rsidRPr="0087586A" w:rsidTr="0087586A">
        <w:tblPrEx>
          <w:tblCellMar>
            <w:top w:w="0" w:type="dxa"/>
            <w:bottom w:w="0" w:type="dxa"/>
          </w:tblCellMar>
        </w:tblPrEx>
        <w:trPr>
          <w:trHeight w:val="500"/>
          <w:jc w:val="center"/>
        </w:trPr>
        <w:tc>
          <w:tcPr>
            <w:tcW w:w="9212" w:type="dxa"/>
            <w:vAlign w:val="center"/>
          </w:tcPr>
          <w:p w:rsidR="0087586A" w:rsidRPr="0087586A" w:rsidRDefault="0087586A" w:rsidP="0087586A">
            <w:pPr>
              <w:widowControl/>
              <w:suppressAutoHyphens w:val="0"/>
              <w:spacing w:after="200"/>
              <w:ind w:right="283"/>
              <w:jc w:val="center"/>
              <w:rPr>
                <w:b/>
                <w:color w:val="010000"/>
              </w:rPr>
            </w:pPr>
            <w:r>
              <w:rPr>
                <w:b/>
                <w:color w:val="010000"/>
              </w:rPr>
              <w:t>KARAR</w:t>
            </w:r>
          </w:p>
        </w:tc>
      </w:tr>
      <w:tr w:rsidR="0087586A" w:rsidRPr="0087586A" w:rsidTr="0087586A">
        <w:tblPrEx>
          <w:tblCellMar>
            <w:top w:w="0" w:type="dxa"/>
            <w:bottom w:w="0" w:type="dxa"/>
          </w:tblCellMar>
        </w:tblPrEx>
        <w:trPr>
          <w:trHeight w:val="500"/>
          <w:jc w:val="center"/>
        </w:trPr>
        <w:tc>
          <w:tcPr>
            <w:tcW w:w="9212" w:type="dxa"/>
            <w:vAlign w:val="center"/>
          </w:tcPr>
          <w:p w:rsidR="0087586A" w:rsidRPr="0087586A" w:rsidRDefault="0087586A" w:rsidP="0087586A">
            <w:pPr>
              <w:widowControl/>
              <w:suppressAutoHyphens w:val="0"/>
              <w:spacing w:after="200"/>
              <w:ind w:right="283"/>
              <w:jc w:val="center"/>
              <w:rPr>
                <w:b/>
                <w:color w:val="010000"/>
              </w:rPr>
            </w:pPr>
          </w:p>
        </w:tc>
      </w:tr>
      <w:tr w:rsidR="0087586A" w:rsidRPr="0087586A" w:rsidTr="0087586A">
        <w:tblPrEx>
          <w:tblCellMar>
            <w:top w:w="0" w:type="dxa"/>
            <w:bottom w:w="0" w:type="dxa"/>
          </w:tblCellMar>
        </w:tblPrEx>
        <w:trPr>
          <w:trHeight w:val="500"/>
          <w:jc w:val="center"/>
        </w:trPr>
        <w:tc>
          <w:tcPr>
            <w:tcW w:w="9212" w:type="dxa"/>
            <w:vAlign w:val="center"/>
          </w:tcPr>
          <w:p w:rsidR="0087586A" w:rsidRPr="0087586A" w:rsidRDefault="0087586A" w:rsidP="0087586A">
            <w:pPr>
              <w:widowControl/>
              <w:suppressAutoHyphens w:val="0"/>
              <w:spacing w:after="200"/>
              <w:ind w:right="283"/>
              <w:jc w:val="center"/>
              <w:rPr>
                <w:b/>
                <w:color w:val="010000"/>
              </w:rPr>
            </w:pPr>
            <w:r>
              <w:rPr>
                <w:b/>
                <w:color w:val="010000"/>
              </w:rPr>
              <w:t>LOKMAN LAÇİN BAŞVURUSU</w:t>
            </w:r>
          </w:p>
        </w:tc>
      </w:tr>
      <w:tr w:rsidR="0087586A" w:rsidRPr="0087586A" w:rsidTr="0087586A">
        <w:tblPrEx>
          <w:tblCellMar>
            <w:top w:w="0" w:type="dxa"/>
            <w:bottom w:w="0" w:type="dxa"/>
          </w:tblCellMar>
        </w:tblPrEx>
        <w:trPr>
          <w:trHeight w:val="500"/>
          <w:jc w:val="center"/>
        </w:trPr>
        <w:tc>
          <w:tcPr>
            <w:tcW w:w="9212" w:type="dxa"/>
            <w:vAlign w:val="center"/>
          </w:tcPr>
          <w:p w:rsidR="0087586A" w:rsidRPr="0087586A" w:rsidRDefault="0087586A" w:rsidP="0087586A">
            <w:pPr>
              <w:widowControl/>
              <w:suppressAutoHyphens w:val="0"/>
              <w:spacing w:after="200"/>
              <w:ind w:right="283"/>
              <w:jc w:val="center"/>
              <w:rPr>
                <w:color w:val="010000"/>
              </w:rPr>
            </w:pPr>
            <w:r>
              <w:rPr>
                <w:color w:val="010000"/>
              </w:rPr>
              <w:t>(Başvuru Numarası: 2020/15836)</w:t>
            </w:r>
          </w:p>
        </w:tc>
      </w:tr>
      <w:tr w:rsidR="0087586A" w:rsidRPr="0087586A" w:rsidTr="0087586A">
        <w:tblPrEx>
          <w:tblCellMar>
            <w:top w:w="0" w:type="dxa"/>
            <w:bottom w:w="0" w:type="dxa"/>
          </w:tblCellMar>
        </w:tblPrEx>
        <w:trPr>
          <w:trHeight w:val="500"/>
          <w:jc w:val="center"/>
        </w:trPr>
        <w:tc>
          <w:tcPr>
            <w:tcW w:w="9212" w:type="dxa"/>
            <w:vAlign w:val="center"/>
          </w:tcPr>
          <w:p w:rsidR="0087586A" w:rsidRPr="0087586A" w:rsidRDefault="0087586A" w:rsidP="0087586A">
            <w:pPr>
              <w:widowControl/>
              <w:suppressAutoHyphens w:val="0"/>
              <w:spacing w:after="200"/>
              <w:ind w:right="283"/>
              <w:jc w:val="center"/>
              <w:rPr>
                <w:b/>
                <w:color w:val="010000"/>
              </w:rPr>
            </w:pPr>
          </w:p>
        </w:tc>
      </w:tr>
      <w:tr w:rsidR="0087586A" w:rsidRPr="0087586A" w:rsidTr="0087586A">
        <w:tblPrEx>
          <w:tblCellMar>
            <w:top w:w="0" w:type="dxa"/>
            <w:bottom w:w="0" w:type="dxa"/>
          </w:tblCellMar>
        </w:tblPrEx>
        <w:trPr>
          <w:trHeight w:val="500"/>
          <w:jc w:val="center"/>
        </w:trPr>
        <w:tc>
          <w:tcPr>
            <w:tcW w:w="9212" w:type="dxa"/>
            <w:vAlign w:val="center"/>
          </w:tcPr>
          <w:p w:rsidR="0087586A" w:rsidRPr="0087586A" w:rsidRDefault="0087586A" w:rsidP="0087586A">
            <w:pPr>
              <w:widowControl/>
              <w:suppressAutoHyphens w:val="0"/>
              <w:spacing w:after="200"/>
              <w:ind w:right="283"/>
              <w:jc w:val="center"/>
              <w:rPr>
                <w:color w:val="010000"/>
              </w:rPr>
            </w:pPr>
            <w:r>
              <w:rPr>
                <w:color w:val="010000"/>
              </w:rPr>
              <w:t>Karar Tarihi: 18/10/2023</w:t>
            </w:r>
          </w:p>
        </w:tc>
      </w:tr>
      <w:tr w:rsidR="0087586A" w:rsidRPr="0087586A" w:rsidTr="0087586A">
        <w:tblPrEx>
          <w:tblCellMar>
            <w:top w:w="0" w:type="dxa"/>
            <w:bottom w:w="0" w:type="dxa"/>
          </w:tblCellMar>
        </w:tblPrEx>
        <w:trPr>
          <w:trHeight w:val="500"/>
          <w:jc w:val="center"/>
        </w:trPr>
        <w:tc>
          <w:tcPr>
            <w:tcW w:w="9212" w:type="dxa"/>
            <w:vAlign w:val="center"/>
          </w:tcPr>
          <w:p w:rsidR="0087586A" w:rsidRPr="0087586A" w:rsidRDefault="0087586A" w:rsidP="0087586A">
            <w:pPr>
              <w:widowControl/>
              <w:suppressAutoHyphens w:val="0"/>
              <w:spacing w:after="200"/>
              <w:ind w:right="283"/>
              <w:jc w:val="center"/>
              <w:rPr>
                <w:color w:val="010000"/>
              </w:rPr>
            </w:pPr>
          </w:p>
        </w:tc>
      </w:tr>
      <w:tr w:rsidR="0087586A" w:rsidRPr="0087586A" w:rsidTr="0087586A">
        <w:tblPrEx>
          <w:tblCellMar>
            <w:top w:w="0" w:type="dxa"/>
            <w:bottom w:w="0" w:type="dxa"/>
          </w:tblCellMar>
        </w:tblPrEx>
        <w:trPr>
          <w:trHeight w:val="500"/>
          <w:jc w:val="center"/>
        </w:trPr>
        <w:tc>
          <w:tcPr>
            <w:tcW w:w="9212" w:type="dxa"/>
            <w:vAlign w:val="center"/>
          </w:tcPr>
          <w:p w:rsidR="0087586A" w:rsidRPr="0087586A" w:rsidRDefault="0087586A" w:rsidP="0087586A">
            <w:pPr>
              <w:widowControl/>
              <w:suppressAutoHyphens w:val="0"/>
              <w:spacing w:after="200"/>
              <w:ind w:right="283"/>
              <w:jc w:val="center"/>
              <w:rPr>
                <w:b/>
                <w:color w:val="010000"/>
              </w:rPr>
            </w:pPr>
          </w:p>
        </w:tc>
      </w:tr>
      <w:tr w:rsidR="0087586A" w:rsidRPr="0087586A" w:rsidTr="0087586A">
        <w:tblPrEx>
          <w:tblCellMar>
            <w:top w:w="0" w:type="dxa"/>
            <w:bottom w:w="0" w:type="dxa"/>
          </w:tblCellMar>
        </w:tblPrEx>
        <w:trPr>
          <w:trHeight w:val="500"/>
          <w:jc w:val="center"/>
        </w:trPr>
        <w:tc>
          <w:tcPr>
            <w:tcW w:w="9212" w:type="dxa"/>
            <w:vAlign w:val="center"/>
          </w:tcPr>
          <w:p w:rsidR="0087586A" w:rsidRPr="0087586A" w:rsidRDefault="0087586A" w:rsidP="0087586A">
            <w:pPr>
              <w:widowControl/>
              <w:suppressAutoHyphens w:val="0"/>
              <w:spacing w:after="200"/>
              <w:ind w:right="283"/>
              <w:jc w:val="center"/>
              <w:rPr>
                <w:b/>
                <w:color w:val="010000"/>
              </w:rPr>
            </w:pPr>
          </w:p>
        </w:tc>
      </w:tr>
      <w:tr w:rsidR="0087586A" w:rsidRPr="0087586A" w:rsidTr="0087586A">
        <w:tblPrEx>
          <w:tblCellMar>
            <w:top w:w="0" w:type="dxa"/>
            <w:bottom w:w="0" w:type="dxa"/>
          </w:tblCellMar>
        </w:tblPrEx>
        <w:trPr>
          <w:trHeight w:val="500"/>
          <w:jc w:val="center"/>
        </w:trPr>
        <w:tc>
          <w:tcPr>
            <w:tcW w:w="9212" w:type="dxa"/>
            <w:vAlign w:val="center"/>
          </w:tcPr>
          <w:p w:rsidR="0087586A" w:rsidRPr="0087586A" w:rsidRDefault="0087586A" w:rsidP="0087586A">
            <w:pPr>
              <w:widowControl/>
              <w:suppressAutoHyphens w:val="0"/>
              <w:spacing w:after="200"/>
              <w:ind w:right="283"/>
              <w:jc w:val="center"/>
              <w:rPr>
                <w:b/>
                <w:color w:val="010000"/>
              </w:rPr>
            </w:pPr>
          </w:p>
        </w:tc>
      </w:tr>
      <w:tr w:rsidR="0087586A" w:rsidRPr="0087586A" w:rsidTr="0087586A">
        <w:tblPrEx>
          <w:tblCellMar>
            <w:top w:w="0" w:type="dxa"/>
            <w:bottom w:w="0" w:type="dxa"/>
          </w:tblCellMar>
        </w:tblPrEx>
        <w:trPr>
          <w:trHeight w:val="500"/>
          <w:jc w:val="center"/>
        </w:trPr>
        <w:tc>
          <w:tcPr>
            <w:tcW w:w="9212" w:type="dxa"/>
            <w:vAlign w:val="center"/>
          </w:tcPr>
          <w:p w:rsidR="0087586A" w:rsidRPr="0087586A" w:rsidRDefault="0087586A" w:rsidP="0087586A">
            <w:pPr>
              <w:widowControl/>
              <w:suppressAutoHyphens w:val="0"/>
              <w:spacing w:after="200"/>
              <w:ind w:right="283"/>
              <w:jc w:val="center"/>
              <w:rPr>
                <w:b/>
                <w:color w:val="010000"/>
              </w:rPr>
            </w:pPr>
          </w:p>
        </w:tc>
      </w:tr>
    </w:tbl>
    <w:p w:rsidR="0087586A" w:rsidRDefault="0087586A" w:rsidP="0087586A">
      <w:pPr>
        <w:widowControl/>
        <w:suppressAutoHyphens w:val="0"/>
        <w:spacing w:after="200"/>
        <w:ind w:left="283" w:right="283" w:firstLine="567"/>
        <w:jc w:val="both"/>
        <w:rPr>
          <w:b/>
          <w:color w:val="010000"/>
        </w:rPr>
        <w:sectPr w:rsidR="0087586A" w:rsidSect="0087586A">
          <w:headerReference w:type="default" r:id="rId6"/>
          <w:footerReference w:type="default" r:id="rId7"/>
          <w:pgSz w:w="11906" w:h="16838"/>
          <w:pgMar w:top="976" w:right="1417" w:bottom="941" w:left="1417" w:header="400" w:footer="400" w:gutter="0"/>
          <w:cols w:space="708"/>
          <w:titlePg/>
          <w:docGrid w:linePitch="326"/>
        </w:sectPr>
      </w:pPr>
    </w:p>
    <w:p w:rsidR="0087586A" w:rsidRDefault="0087586A" w:rsidP="0087586A">
      <w:pPr>
        <w:widowControl/>
        <w:suppressAutoHyphens w:val="0"/>
        <w:spacing w:after="200"/>
        <w:ind w:left="283" w:right="283" w:firstLine="567"/>
        <w:jc w:val="both"/>
        <w:rPr>
          <w:b/>
          <w:color w:val="010000"/>
        </w:rPr>
      </w:pPr>
    </w:p>
    <w:p w:rsidR="0032126F" w:rsidRPr="0087586A" w:rsidRDefault="0032126F" w:rsidP="0087586A">
      <w:pPr>
        <w:widowControl/>
        <w:suppressAutoHyphens w:val="0"/>
        <w:spacing w:after="200"/>
        <w:ind w:left="283" w:right="283" w:firstLine="1"/>
        <w:jc w:val="center"/>
        <w:rPr>
          <w:color w:val="010000"/>
        </w:rPr>
      </w:pPr>
      <w:r w:rsidRPr="0087586A">
        <w:rPr>
          <w:b/>
          <w:color w:val="010000"/>
        </w:rPr>
        <w:t>İKİNCİ BÖLÜM</w:t>
      </w:r>
    </w:p>
    <w:p w:rsidR="0032126F" w:rsidRPr="0087586A" w:rsidRDefault="0032126F" w:rsidP="0087586A">
      <w:pPr>
        <w:widowControl/>
        <w:suppressAutoHyphens w:val="0"/>
        <w:spacing w:after="200"/>
        <w:ind w:left="283" w:right="283" w:firstLine="1"/>
        <w:jc w:val="center"/>
        <w:rPr>
          <w:color w:val="010000"/>
        </w:rPr>
      </w:pPr>
      <w:r w:rsidRPr="0087586A">
        <w:rPr>
          <w:b/>
          <w:color w:val="010000"/>
        </w:rPr>
        <w:t>KARAR</w:t>
      </w:r>
    </w:p>
    <w:p w:rsidR="0087586A" w:rsidRDefault="0087586A" w:rsidP="0087586A">
      <w:pPr>
        <w:pStyle w:val="edf1393440552765"/>
        <w:widowControl/>
        <w:suppressAutoHyphens w:val="0"/>
        <w:spacing w:after="200"/>
        <w:ind w:left="283" w:right="283" w:firstLine="567"/>
        <w:jc w:val="both"/>
        <w:rPr>
          <w:rFonts w:cs="Times New Roman"/>
          <w:b/>
          <w:color w:val="010000"/>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87586A" w:rsidRPr="0087586A" w:rsidTr="0087586A">
        <w:tblPrEx>
          <w:tblCellMar>
            <w:top w:w="0" w:type="dxa"/>
            <w:bottom w:w="0" w:type="dxa"/>
          </w:tblCellMar>
        </w:tblPrEx>
        <w:trPr>
          <w:trHeight w:val="454"/>
        </w:trPr>
        <w:tc>
          <w:tcPr>
            <w:tcW w:w="2400" w:type="dxa"/>
          </w:tcPr>
          <w:p w:rsidR="0087586A" w:rsidRPr="0087586A" w:rsidRDefault="0087586A" w:rsidP="0087586A">
            <w:pPr>
              <w:pStyle w:val="edf1393440552765"/>
              <w:widowControl/>
              <w:suppressAutoHyphens w:val="0"/>
              <w:rPr>
                <w:rFonts w:cs="Times New Roman"/>
                <w:b/>
                <w:color w:val="010000"/>
              </w:rPr>
            </w:pPr>
            <w:r w:rsidRPr="0087586A">
              <w:rPr>
                <w:rFonts w:cs="Times New Roman"/>
                <w:b/>
                <w:color w:val="010000"/>
              </w:rPr>
              <w:t>Başkan</w:t>
            </w:r>
          </w:p>
        </w:tc>
        <w:tc>
          <w:tcPr>
            <w:tcW w:w="200" w:type="dxa"/>
          </w:tcPr>
          <w:p w:rsidR="0087586A" w:rsidRPr="0087586A" w:rsidRDefault="0087586A" w:rsidP="0087586A">
            <w:pPr>
              <w:pStyle w:val="edf1393440552765"/>
              <w:widowControl/>
              <w:suppressAutoHyphens w:val="0"/>
              <w:rPr>
                <w:rFonts w:cs="Times New Roman"/>
                <w:b/>
                <w:color w:val="010000"/>
              </w:rPr>
            </w:pPr>
            <w:r w:rsidRPr="0087586A">
              <w:rPr>
                <w:rFonts w:cs="Times New Roman"/>
                <w:b/>
                <w:color w:val="010000"/>
              </w:rPr>
              <w:t>:</w:t>
            </w:r>
          </w:p>
        </w:tc>
        <w:tc>
          <w:tcPr>
            <w:tcW w:w="5400" w:type="dxa"/>
          </w:tcPr>
          <w:p w:rsidR="0087586A" w:rsidRPr="0087586A" w:rsidRDefault="0087586A" w:rsidP="0087586A">
            <w:pPr>
              <w:pStyle w:val="edf1393440552765"/>
              <w:widowControl/>
              <w:suppressAutoHyphens w:val="0"/>
              <w:rPr>
                <w:rFonts w:cs="Times New Roman"/>
                <w:color w:val="010000"/>
              </w:rPr>
            </w:pPr>
            <w:r w:rsidRPr="0087586A">
              <w:rPr>
                <w:rFonts w:cs="Times New Roman"/>
                <w:color w:val="010000"/>
              </w:rPr>
              <w:t>Kadir ÖZKAYA</w:t>
            </w:r>
          </w:p>
        </w:tc>
      </w:tr>
      <w:tr w:rsidR="0087586A" w:rsidRPr="0087586A" w:rsidTr="0087586A">
        <w:tblPrEx>
          <w:tblCellMar>
            <w:top w:w="0" w:type="dxa"/>
            <w:bottom w:w="0" w:type="dxa"/>
          </w:tblCellMar>
        </w:tblPrEx>
        <w:trPr>
          <w:trHeight w:val="454"/>
        </w:trPr>
        <w:tc>
          <w:tcPr>
            <w:tcW w:w="2400" w:type="dxa"/>
          </w:tcPr>
          <w:p w:rsidR="0087586A" w:rsidRPr="0087586A" w:rsidRDefault="0087586A" w:rsidP="0087586A">
            <w:pPr>
              <w:pStyle w:val="edf1393440552765"/>
              <w:widowControl/>
              <w:suppressAutoHyphens w:val="0"/>
              <w:rPr>
                <w:rFonts w:cs="Times New Roman"/>
                <w:b/>
                <w:color w:val="010000"/>
              </w:rPr>
            </w:pPr>
            <w:r w:rsidRPr="0087586A">
              <w:rPr>
                <w:rFonts w:cs="Times New Roman"/>
                <w:b/>
                <w:color w:val="010000"/>
              </w:rPr>
              <w:t>Üyeler</w:t>
            </w:r>
          </w:p>
        </w:tc>
        <w:tc>
          <w:tcPr>
            <w:tcW w:w="200" w:type="dxa"/>
          </w:tcPr>
          <w:p w:rsidR="0087586A" w:rsidRPr="0087586A" w:rsidRDefault="0087586A" w:rsidP="0087586A">
            <w:pPr>
              <w:pStyle w:val="edf1393440552765"/>
              <w:widowControl/>
              <w:suppressAutoHyphens w:val="0"/>
              <w:rPr>
                <w:rFonts w:cs="Times New Roman"/>
                <w:b/>
                <w:color w:val="010000"/>
              </w:rPr>
            </w:pPr>
            <w:r w:rsidRPr="0087586A">
              <w:rPr>
                <w:rFonts w:cs="Times New Roman"/>
                <w:b/>
                <w:color w:val="010000"/>
              </w:rPr>
              <w:t>:</w:t>
            </w:r>
          </w:p>
        </w:tc>
        <w:tc>
          <w:tcPr>
            <w:tcW w:w="5400" w:type="dxa"/>
          </w:tcPr>
          <w:p w:rsidR="0087586A" w:rsidRPr="0087586A" w:rsidRDefault="0087586A" w:rsidP="0087586A">
            <w:pPr>
              <w:pStyle w:val="edf1393440552765"/>
              <w:widowControl/>
              <w:suppressAutoHyphens w:val="0"/>
              <w:rPr>
                <w:rFonts w:cs="Times New Roman"/>
                <w:color w:val="010000"/>
              </w:rPr>
            </w:pPr>
            <w:r w:rsidRPr="0087586A">
              <w:rPr>
                <w:rFonts w:cs="Times New Roman"/>
                <w:color w:val="010000"/>
              </w:rPr>
              <w:t>Engin YILDIRIM</w:t>
            </w:r>
          </w:p>
        </w:tc>
      </w:tr>
      <w:tr w:rsidR="0087586A" w:rsidRPr="0087586A" w:rsidTr="0087586A">
        <w:tblPrEx>
          <w:tblCellMar>
            <w:top w:w="0" w:type="dxa"/>
            <w:bottom w:w="0" w:type="dxa"/>
          </w:tblCellMar>
        </w:tblPrEx>
        <w:trPr>
          <w:trHeight w:val="454"/>
        </w:trPr>
        <w:tc>
          <w:tcPr>
            <w:tcW w:w="2400" w:type="dxa"/>
          </w:tcPr>
          <w:p w:rsidR="0087586A" w:rsidRPr="0087586A" w:rsidRDefault="0087586A" w:rsidP="0087586A">
            <w:pPr>
              <w:pStyle w:val="edf1393440552765"/>
              <w:widowControl/>
              <w:suppressAutoHyphens w:val="0"/>
              <w:rPr>
                <w:rFonts w:cs="Times New Roman"/>
                <w:b/>
                <w:color w:val="010000"/>
              </w:rPr>
            </w:pPr>
          </w:p>
        </w:tc>
        <w:tc>
          <w:tcPr>
            <w:tcW w:w="200" w:type="dxa"/>
          </w:tcPr>
          <w:p w:rsidR="0087586A" w:rsidRPr="0087586A" w:rsidRDefault="0087586A" w:rsidP="0087586A">
            <w:pPr>
              <w:pStyle w:val="edf1393440552765"/>
              <w:widowControl/>
              <w:suppressAutoHyphens w:val="0"/>
              <w:rPr>
                <w:rFonts w:cs="Times New Roman"/>
                <w:b/>
                <w:color w:val="010000"/>
              </w:rPr>
            </w:pPr>
          </w:p>
        </w:tc>
        <w:tc>
          <w:tcPr>
            <w:tcW w:w="5400" w:type="dxa"/>
          </w:tcPr>
          <w:p w:rsidR="0087586A" w:rsidRPr="0087586A" w:rsidRDefault="0087586A" w:rsidP="0087586A">
            <w:pPr>
              <w:pStyle w:val="edf1393440552765"/>
              <w:widowControl/>
              <w:suppressAutoHyphens w:val="0"/>
              <w:rPr>
                <w:rFonts w:cs="Times New Roman"/>
                <w:color w:val="010000"/>
              </w:rPr>
            </w:pPr>
            <w:r w:rsidRPr="0087586A">
              <w:rPr>
                <w:rFonts w:cs="Times New Roman"/>
                <w:color w:val="010000"/>
              </w:rPr>
              <w:t>Rıdvan GÜLEÇ</w:t>
            </w:r>
          </w:p>
        </w:tc>
      </w:tr>
      <w:tr w:rsidR="0087586A" w:rsidRPr="0087586A" w:rsidTr="0087586A">
        <w:tblPrEx>
          <w:tblCellMar>
            <w:top w:w="0" w:type="dxa"/>
            <w:bottom w:w="0" w:type="dxa"/>
          </w:tblCellMar>
        </w:tblPrEx>
        <w:trPr>
          <w:trHeight w:val="454"/>
        </w:trPr>
        <w:tc>
          <w:tcPr>
            <w:tcW w:w="2400" w:type="dxa"/>
          </w:tcPr>
          <w:p w:rsidR="0087586A" w:rsidRPr="0087586A" w:rsidRDefault="0087586A" w:rsidP="0087586A">
            <w:pPr>
              <w:pStyle w:val="edf1393440552765"/>
              <w:widowControl/>
              <w:suppressAutoHyphens w:val="0"/>
              <w:rPr>
                <w:rFonts w:cs="Times New Roman"/>
                <w:b/>
                <w:color w:val="010000"/>
              </w:rPr>
            </w:pPr>
          </w:p>
        </w:tc>
        <w:tc>
          <w:tcPr>
            <w:tcW w:w="200" w:type="dxa"/>
          </w:tcPr>
          <w:p w:rsidR="0087586A" w:rsidRPr="0087586A" w:rsidRDefault="0087586A" w:rsidP="0087586A">
            <w:pPr>
              <w:pStyle w:val="edf1393440552765"/>
              <w:widowControl/>
              <w:suppressAutoHyphens w:val="0"/>
              <w:rPr>
                <w:rFonts w:cs="Times New Roman"/>
                <w:b/>
                <w:color w:val="010000"/>
              </w:rPr>
            </w:pPr>
          </w:p>
        </w:tc>
        <w:tc>
          <w:tcPr>
            <w:tcW w:w="5400" w:type="dxa"/>
          </w:tcPr>
          <w:p w:rsidR="0087586A" w:rsidRPr="0087586A" w:rsidRDefault="0087586A" w:rsidP="0087586A">
            <w:pPr>
              <w:pStyle w:val="edf1393440552765"/>
              <w:widowControl/>
              <w:suppressAutoHyphens w:val="0"/>
              <w:rPr>
                <w:rFonts w:cs="Times New Roman"/>
                <w:color w:val="010000"/>
              </w:rPr>
            </w:pPr>
            <w:r w:rsidRPr="0087586A">
              <w:rPr>
                <w:rFonts w:cs="Times New Roman"/>
                <w:color w:val="010000"/>
              </w:rPr>
              <w:t>Basri BAĞCI</w:t>
            </w:r>
          </w:p>
        </w:tc>
      </w:tr>
      <w:tr w:rsidR="0087586A" w:rsidRPr="0087586A" w:rsidTr="0087586A">
        <w:tblPrEx>
          <w:tblCellMar>
            <w:top w:w="0" w:type="dxa"/>
            <w:bottom w:w="0" w:type="dxa"/>
          </w:tblCellMar>
        </w:tblPrEx>
        <w:trPr>
          <w:trHeight w:val="454"/>
        </w:trPr>
        <w:tc>
          <w:tcPr>
            <w:tcW w:w="2400" w:type="dxa"/>
          </w:tcPr>
          <w:p w:rsidR="0087586A" w:rsidRPr="0087586A" w:rsidRDefault="0087586A" w:rsidP="0087586A">
            <w:pPr>
              <w:pStyle w:val="edf1393440552765"/>
              <w:widowControl/>
              <w:suppressAutoHyphens w:val="0"/>
              <w:rPr>
                <w:rFonts w:cs="Times New Roman"/>
                <w:b/>
                <w:color w:val="010000"/>
              </w:rPr>
            </w:pPr>
          </w:p>
        </w:tc>
        <w:tc>
          <w:tcPr>
            <w:tcW w:w="200" w:type="dxa"/>
          </w:tcPr>
          <w:p w:rsidR="0087586A" w:rsidRPr="0087586A" w:rsidRDefault="0087586A" w:rsidP="0087586A">
            <w:pPr>
              <w:pStyle w:val="edf1393440552765"/>
              <w:widowControl/>
              <w:suppressAutoHyphens w:val="0"/>
              <w:rPr>
                <w:rFonts w:cs="Times New Roman"/>
                <w:b/>
                <w:color w:val="010000"/>
              </w:rPr>
            </w:pPr>
          </w:p>
        </w:tc>
        <w:tc>
          <w:tcPr>
            <w:tcW w:w="5400" w:type="dxa"/>
          </w:tcPr>
          <w:p w:rsidR="0087586A" w:rsidRPr="0087586A" w:rsidRDefault="0087586A" w:rsidP="0087586A">
            <w:pPr>
              <w:pStyle w:val="edf1393440552765"/>
              <w:widowControl/>
              <w:suppressAutoHyphens w:val="0"/>
              <w:rPr>
                <w:rFonts w:cs="Times New Roman"/>
                <w:color w:val="010000"/>
              </w:rPr>
            </w:pPr>
            <w:r w:rsidRPr="0087586A">
              <w:rPr>
                <w:rFonts w:cs="Times New Roman"/>
                <w:color w:val="010000"/>
              </w:rPr>
              <w:t>Kenan YAŞAR</w:t>
            </w:r>
          </w:p>
        </w:tc>
      </w:tr>
      <w:tr w:rsidR="0087586A" w:rsidRPr="0087586A" w:rsidTr="0087586A">
        <w:tblPrEx>
          <w:tblCellMar>
            <w:top w:w="0" w:type="dxa"/>
            <w:bottom w:w="0" w:type="dxa"/>
          </w:tblCellMar>
        </w:tblPrEx>
        <w:trPr>
          <w:trHeight w:val="454"/>
        </w:trPr>
        <w:tc>
          <w:tcPr>
            <w:tcW w:w="2400" w:type="dxa"/>
          </w:tcPr>
          <w:p w:rsidR="0087586A" w:rsidRPr="0087586A" w:rsidRDefault="0087586A" w:rsidP="0087586A">
            <w:pPr>
              <w:pStyle w:val="edf1393440552765"/>
              <w:widowControl/>
              <w:suppressAutoHyphens w:val="0"/>
              <w:rPr>
                <w:rFonts w:cs="Times New Roman"/>
                <w:b/>
                <w:color w:val="010000"/>
              </w:rPr>
            </w:pPr>
            <w:r w:rsidRPr="0087586A">
              <w:rPr>
                <w:rFonts w:cs="Times New Roman"/>
                <w:b/>
                <w:color w:val="010000"/>
              </w:rPr>
              <w:t>Raportör</w:t>
            </w:r>
          </w:p>
        </w:tc>
        <w:tc>
          <w:tcPr>
            <w:tcW w:w="200" w:type="dxa"/>
          </w:tcPr>
          <w:p w:rsidR="0087586A" w:rsidRPr="0087586A" w:rsidRDefault="0087586A" w:rsidP="0087586A">
            <w:pPr>
              <w:pStyle w:val="edf1393440552765"/>
              <w:widowControl/>
              <w:suppressAutoHyphens w:val="0"/>
              <w:rPr>
                <w:rFonts w:cs="Times New Roman"/>
                <w:b/>
                <w:color w:val="010000"/>
              </w:rPr>
            </w:pPr>
            <w:r w:rsidRPr="0087586A">
              <w:rPr>
                <w:rFonts w:cs="Times New Roman"/>
                <w:b/>
                <w:color w:val="010000"/>
              </w:rPr>
              <w:t>:</w:t>
            </w:r>
          </w:p>
        </w:tc>
        <w:tc>
          <w:tcPr>
            <w:tcW w:w="5400" w:type="dxa"/>
          </w:tcPr>
          <w:p w:rsidR="0087586A" w:rsidRPr="0087586A" w:rsidRDefault="0087586A" w:rsidP="0087586A">
            <w:pPr>
              <w:pStyle w:val="edf1393440552765"/>
              <w:widowControl/>
              <w:suppressAutoHyphens w:val="0"/>
              <w:rPr>
                <w:rFonts w:cs="Times New Roman"/>
                <w:color w:val="010000"/>
              </w:rPr>
            </w:pPr>
            <w:r w:rsidRPr="0087586A">
              <w:rPr>
                <w:rFonts w:cs="Times New Roman"/>
                <w:color w:val="010000"/>
              </w:rPr>
              <w:t>Ömer MENCİK</w:t>
            </w:r>
          </w:p>
        </w:tc>
      </w:tr>
      <w:tr w:rsidR="0087586A" w:rsidRPr="0087586A" w:rsidTr="0087586A">
        <w:tblPrEx>
          <w:tblCellMar>
            <w:top w:w="0" w:type="dxa"/>
            <w:bottom w:w="0" w:type="dxa"/>
          </w:tblCellMar>
        </w:tblPrEx>
        <w:trPr>
          <w:trHeight w:val="454"/>
        </w:trPr>
        <w:tc>
          <w:tcPr>
            <w:tcW w:w="2400" w:type="dxa"/>
          </w:tcPr>
          <w:p w:rsidR="0087586A" w:rsidRPr="0087586A" w:rsidRDefault="0087586A" w:rsidP="0087586A">
            <w:pPr>
              <w:pStyle w:val="edf1393440552765"/>
              <w:widowControl/>
              <w:suppressAutoHyphens w:val="0"/>
              <w:rPr>
                <w:rFonts w:cs="Times New Roman"/>
                <w:b/>
                <w:color w:val="010000"/>
              </w:rPr>
            </w:pPr>
            <w:r w:rsidRPr="0087586A">
              <w:rPr>
                <w:rFonts w:cs="Times New Roman"/>
                <w:b/>
                <w:color w:val="010000"/>
              </w:rPr>
              <w:t>Başvurucu</w:t>
            </w:r>
          </w:p>
        </w:tc>
        <w:tc>
          <w:tcPr>
            <w:tcW w:w="200" w:type="dxa"/>
          </w:tcPr>
          <w:p w:rsidR="0087586A" w:rsidRPr="0087586A" w:rsidRDefault="0087586A" w:rsidP="0087586A">
            <w:pPr>
              <w:pStyle w:val="edf1393440552765"/>
              <w:widowControl/>
              <w:suppressAutoHyphens w:val="0"/>
              <w:rPr>
                <w:rFonts w:cs="Times New Roman"/>
                <w:b/>
                <w:color w:val="010000"/>
              </w:rPr>
            </w:pPr>
            <w:r w:rsidRPr="0087586A">
              <w:rPr>
                <w:rFonts w:cs="Times New Roman"/>
                <w:b/>
                <w:color w:val="010000"/>
              </w:rPr>
              <w:t>:</w:t>
            </w:r>
          </w:p>
        </w:tc>
        <w:tc>
          <w:tcPr>
            <w:tcW w:w="5400" w:type="dxa"/>
          </w:tcPr>
          <w:p w:rsidR="0087586A" w:rsidRPr="0087586A" w:rsidRDefault="0087586A" w:rsidP="0087586A">
            <w:pPr>
              <w:pStyle w:val="edf1393440552765"/>
              <w:widowControl/>
              <w:suppressAutoHyphens w:val="0"/>
              <w:rPr>
                <w:rFonts w:cs="Times New Roman"/>
                <w:color w:val="010000"/>
              </w:rPr>
            </w:pPr>
            <w:r w:rsidRPr="0087586A">
              <w:rPr>
                <w:rFonts w:cs="Times New Roman"/>
                <w:color w:val="010000"/>
              </w:rPr>
              <w:t>Lokman LAÇİN</w:t>
            </w:r>
          </w:p>
        </w:tc>
      </w:tr>
    </w:tbl>
    <w:p w:rsidR="0087586A" w:rsidRDefault="0087586A" w:rsidP="0087586A">
      <w:pPr>
        <w:pStyle w:val="edf1393440552765"/>
        <w:widowControl/>
        <w:suppressAutoHyphens w:val="0"/>
        <w:spacing w:after="200"/>
        <w:ind w:left="283" w:right="283" w:firstLine="567"/>
        <w:jc w:val="both"/>
        <w:rPr>
          <w:rFonts w:cs="Times New Roman"/>
          <w:b/>
          <w:color w:val="010000"/>
        </w:rPr>
      </w:pPr>
    </w:p>
    <w:p w:rsidR="0032126F" w:rsidRPr="0087586A" w:rsidRDefault="0032126F" w:rsidP="0087586A">
      <w:pPr>
        <w:pStyle w:val="edf1393440552765"/>
        <w:widowControl/>
        <w:suppressAutoHyphens w:val="0"/>
        <w:spacing w:after="200"/>
        <w:ind w:left="283" w:right="283" w:firstLine="567"/>
        <w:jc w:val="both"/>
        <w:rPr>
          <w:rFonts w:cs="Times New Roman"/>
          <w:color w:val="010000"/>
        </w:rPr>
      </w:pPr>
      <w:r w:rsidRPr="0087586A">
        <w:rPr>
          <w:rFonts w:cs="Times New Roman"/>
          <w:b/>
          <w:color w:val="010000"/>
        </w:rPr>
        <w:t>I.</w:t>
      </w:r>
      <w:r w:rsidR="0087586A" w:rsidRPr="0087586A">
        <w:rPr>
          <w:rFonts w:cs="Times New Roman"/>
          <w:color w:val="010000"/>
        </w:rPr>
        <w:t xml:space="preserve"> </w:t>
      </w:r>
      <w:r w:rsidRPr="0087586A">
        <w:rPr>
          <w:rFonts w:cs="Times New Roman"/>
          <w:b/>
          <w:color w:val="010000"/>
        </w:rPr>
        <w:t>BAŞVURUNUN ÖZETİ</w:t>
      </w:r>
    </w:p>
    <w:p w:rsidR="0032126F" w:rsidRPr="0087586A" w:rsidRDefault="0032126F" w:rsidP="0087586A">
      <w:pPr>
        <w:pStyle w:val="edf1450279197849"/>
        <w:widowControl/>
        <w:suppressAutoHyphens w:val="0"/>
        <w:spacing w:after="200"/>
        <w:ind w:left="283" w:right="283" w:firstLine="567"/>
        <w:jc w:val="both"/>
        <w:rPr>
          <w:rFonts w:cs="Times New Roman"/>
          <w:color w:val="010000"/>
        </w:rPr>
      </w:pPr>
      <w:r w:rsidRPr="0087586A">
        <w:rPr>
          <w:rFonts w:cs="Times New Roman"/>
          <w:color w:val="010000"/>
        </w:rPr>
        <w:t>1.</w:t>
      </w:r>
      <w:r w:rsidR="0087586A" w:rsidRPr="0087586A">
        <w:rPr>
          <w:rFonts w:cs="Times New Roman"/>
          <w:color w:val="010000"/>
        </w:rPr>
        <w:t xml:space="preserve"> </w:t>
      </w:r>
      <w:r w:rsidRPr="0087586A">
        <w:rPr>
          <w:rFonts w:cs="Times New Roman"/>
          <w:color w:val="010000"/>
        </w:rPr>
        <w:t xml:space="preserve">Başvuru, karara dayanak alınan Cumhuriyet savcısının itirazının başvurucuya tebliğ edilmemesi nedeniyle silahların eşitliği ve çelişmeli yargılama ilkeleri bağlamında adil yargılanma hakkının ihlal edildiği iddiasına ilişkindir. Başvurucu nihai kararı 7/5/2020 tarihinde öğrendikten sonra 21/5/2020 tarihinde bireysel başvuruda bulunmuştur. Başvurunun kabul edilebilirlik ve esas incelemesinin Bölüm tarafından yapılmasına karar verilmiştir. </w:t>
      </w:r>
    </w:p>
    <w:p w:rsidR="0032126F" w:rsidRPr="0087586A" w:rsidRDefault="0032126F" w:rsidP="0087586A">
      <w:pPr>
        <w:pStyle w:val="edf1450279197849"/>
        <w:widowControl/>
        <w:suppressAutoHyphens w:val="0"/>
        <w:spacing w:after="200"/>
        <w:ind w:left="283" w:right="283" w:firstLine="567"/>
        <w:jc w:val="both"/>
        <w:rPr>
          <w:rFonts w:cs="Times New Roman"/>
          <w:color w:val="010000"/>
        </w:rPr>
      </w:pPr>
      <w:r w:rsidRPr="0087586A">
        <w:rPr>
          <w:rFonts w:cs="Times New Roman"/>
          <w:color w:val="010000"/>
        </w:rPr>
        <w:t>2.</w:t>
      </w:r>
      <w:r w:rsidR="0087586A" w:rsidRPr="0087586A">
        <w:rPr>
          <w:rFonts w:cs="Times New Roman"/>
          <w:color w:val="010000"/>
        </w:rPr>
        <w:t xml:space="preserve"> </w:t>
      </w:r>
      <w:r w:rsidRPr="0087586A">
        <w:rPr>
          <w:rFonts w:cs="Times New Roman"/>
          <w:color w:val="010000"/>
        </w:rPr>
        <w:t xml:space="preserve">Başvurucunun </w:t>
      </w:r>
      <w:r w:rsidRPr="0087586A">
        <w:rPr>
          <w:rFonts w:cs="Times New Roman"/>
          <w:i/>
          <w:iCs/>
          <w:color w:val="010000"/>
        </w:rPr>
        <w:t>Yeni Yaşam</w:t>
      </w:r>
      <w:r w:rsidRPr="0087586A">
        <w:rPr>
          <w:rFonts w:cs="Times New Roman"/>
          <w:color w:val="010000"/>
        </w:rPr>
        <w:t xml:space="preserve"> gazetesinin tarafına verilmemesine dair karara şikâyeti üzerine infaz hâkimliğince yapılan inceleme sonucunda, ceza infaz kurumunun süreli yayının başvurucuya verilmemesine dair kararının kaldırılmasına karar verilmiştir. Ancak Cumhuriyet savcısının itirazı üzerine itiraz makamınca Cumhuriyet savcısının itirazının reddine karar verilmekle birlikte anılan süreli yayınların bazı sayfalarının çıkarılarak başvurucuya teslim edilmesine kesin olarak karar verilmiştir. İtirazın incelenmesi sürecinde Cumhuriyet savcısının itirazının başvurucuya bildirildiğine dair bir tespit yapılamamıştır.</w:t>
      </w:r>
    </w:p>
    <w:p w:rsidR="0032126F" w:rsidRPr="0087586A" w:rsidRDefault="0032126F" w:rsidP="0087586A">
      <w:pPr>
        <w:pStyle w:val="edf1450279197849"/>
        <w:widowControl/>
        <w:suppressAutoHyphens w:val="0"/>
        <w:spacing w:after="200"/>
        <w:ind w:left="283" w:right="283" w:firstLine="567"/>
        <w:jc w:val="both"/>
        <w:rPr>
          <w:rFonts w:cs="Times New Roman"/>
          <w:color w:val="010000"/>
        </w:rPr>
      </w:pPr>
      <w:r w:rsidRPr="0087586A">
        <w:rPr>
          <w:rFonts w:cs="Times New Roman"/>
          <w:b/>
          <w:color w:val="010000"/>
        </w:rPr>
        <w:t>II.</w:t>
      </w:r>
      <w:r w:rsidR="0087586A" w:rsidRPr="0087586A">
        <w:rPr>
          <w:rFonts w:cs="Times New Roman"/>
          <w:color w:val="010000"/>
        </w:rPr>
        <w:t xml:space="preserve"> </w:t>
      </w:r>
      <w:r w:rsidRPr="0087586A">
        <w:rPr>
          <w:rFonts w:cs="Times New Roman"/>
          <w:b/>
          <w:color w:val="010000"/>
        </w:rPr>
        <w:t>DEĞERLENDİRME</w:t>
      </w:r>
    </w:p>
    <w:p w:rsidR="0032126F" w:rsidRPr="0087586A" w:rsidRDefault="0032126F" w:rsidP="0087586A">
      <w:pPr>
        <w:widowControl/>
        <w:suppressAutoHyphens w:val="0"/>
        <w:spacing w:after="200"/>
        <w:ind w:left="283" w:right="283" w:firstLine="567"/>
        <w:jc w:val="both"/>
        <w:rPr>
          <w:color w:val="010000"/>
        </w:rPr>
      </w:pPr>
      <w:r w:rsidRPr="0087586A">
        <w:rPr>
          <w:color w:val="010000"/>
        </w:rPr>
        <w:t>3.</w:t>
      </w:r>
      <w:r w:rsidR="0087586A" w:rsidRPr="0087586A">
        <w:rPr>
          <w:color w:val="010000"/>
        </w:rPr>
        <w:t xml:space="preserve"> </w:t>
      </w:r>
      <w:r w:rsidRPr="0087586A">
        <w:rPr>
          <w:color w:val="010000"/>
        </w:rPr>
        <w:t>Ödeme gücünden yoksun olduğu anlaşılan başvurucunun adli yardım talebinin kabulüne karar verilmesi gerekir.</w:t>
      </w:r>
    </w:p>
    <w:p w:rsidR="0032126F" w:rsidRPr="0087586A" w:rsidRDefault="0032126F" w:rsidP="0087586A">
      <w:pPr>
        <w:widowControl/>
        <w:suppressAutoHyphens w:val="0"/>
        <w:spacing w:after="200"/>
        <w:ind w:left="283" w:right="283" w:firstLine="567"/>
        <w:jc w:val="both"/>
        <w:rPr>
          <w:color w:val="010000"/>
        </w:rPr>
      </w:pPr>
      <w:r w:rsidRPr="0087586A">
        <w:rPr>
          <w:color w:val="010000"/>
        </w:rPr>
        <w:t>4.</w:t>
      </w:r>
      <w:r w:rsidR="0087586A" w:rsidRPr="0087586A">
        <w:rPr>
          <w:color w:val="010000"/>
        </w:rPr>
        <w:t xml:space="preserve"> </w:t>
      </w:r>
      <w:r w:rsidRPr="0087586A">
        <w:rPr>
          <w:color w:val="010000"/>
        </w:rPr>
        <w:t xml:space="preserve">Anayasa Mahkemesi, </w:t>
      </w:r>
      <w:r w:rsidRPr="0087586A">
        <w:rPr>
          <w:i/>
          <w:iCs/>
          <w:color w:val="010000"/>
        </w:rPr>
        <w:t xml:space="preserve">İnan Gök </w:t>
      </w:r>
      <w:r w:rsidRPr="0087586A">
        <w:rPr>
          <w:color w:val="010000"/>
        </w:rPr>
        <w:t>(B. No: 2018/1936, 28/1/2021)</w:t>
      </w:r>
      <w:r w:rsidRPr="0087586A">
        <w:rPr>
          <w:i/>
          <w:iCs/>
          <w:color w:val="010000"/>
        </w:rPr>
        <w:t xml:space="preserve"> </w:t>
      </w:r>
      <w:r w:rsidRPr="0087586A">
        <w:rPr>
          <w:color w:val="010000"/>
        </w:rPr>
        <w:t>kararında</w:t>
      </w:r>
      <w:r w:rsidRPr="0087586A">
        <w:rPr>
          <w:i/>
          <w:iCs/>
          <w:color w:val="010000"/>
        </w:rPr>
        <w:t xml:space="preserve"> </w:t>
      </w:r>
      <w:r w:rsidRPr="0087586A">
        <w:rPr>
          <w:color w:val="010000"/>
        </w:rPr>
        <w:t>Cumhuriyet savcısının itirazının tebliğ edilmemesi ile ilgili iddiaları</w:t>
      </w:r>
      <w:r w:rsidRPr="0087586A">
        <w:rPr>
          <w:i/>
          <w:iCs/>
          <w:color w:val="010000"/>
        </w:rPr>
        <w:t xml:space="preserve"> </w:t>
      </w:r>
      <w:r w:rsidRPr="0087586A">
        <w:rPr>
          <w:color w:val="010000"/>
        </w:rPr>
        <w:t>değerlendirmiştir. Söz konusu kararda; başvurucu lehine verilen infaz hâkimliği kararına karşı Cumhuriyet savcısı tarafından yapılan itirazda savcının itiraz dilekçesinin hükümlüye tebliğ edilmeyip hükümlünün itiraza karşı beyanları alınmadan disiplin cezasının iptaline ilişkin infaz hâkimliği kararının kaldırılması nedeniyle başvurucunun iddia makamına karşı önemli ölçüde dezavantajlı duruma düşürüldüğü, bu durumun yargılamayı bir bütün hâlinde adil olmaktan çıkardığı belirtilerek silahların eşitliği ilkesinin ihlal edildiği sonucuna ulaşılmıştır (</w:t>
      </w:r>
      <w:r w:rsidRPr="0087586A">
        <w:rPr>
          <w:i/>
          <w:iCs/>
          <w:color w:val="010000"/>
        </w:rPr>
        <w:t>İnan Gök,</w:t>
      </w:r>
      <w:r w:rsidRPr="0087586A">
        <w:rPr>
          <w:color w:val="010000"/>
        </w:rPr>
        <w:t xml:space="preserve"> §§ 49-53). Somut olayda anılan kararda belirtilen ilkelerden ve ulaşılan sonuçtan ayrılmayı gerektiren bir durum bulunmamaktadır. Bu doğrultuda Anayasa’nın 36. maddesinde güvence altına alınan </w:t>
      </w:r>
      <w:r w:rsidRPr="0087586A">
        <w:rPr>
          <w:color w:val="010000"/>
        </w:rPr>
        <w:lastRenderedPageBreak/>
        <w:t>silahların eşitliği ve çelişmeli yargılama ilkelerinin ihlal edildiğine karar verilmesi gerekir.</w:t>
      </w:r>
    </w:p>
    <w:p w:rsidR="0032126F" w:rsidRPr="0087586A" w:rsidRDefault="0032126F" w:rsidP="0087586A">
      <w:pPr>
        <w:widowControl/>
        <w:suppressAutoHyphens w:val="0"/>
        <w:spacing w:after="200"/>
        <w:ind w:left="283" w:right="283" w:firstLine="567"/>
        <w:jc w:val="both"/>
        <w:rPr>
          <w:color w:val="010000"/>
        </w:rPr>
      </w:pPr>
      <w:r w:rsidRPr="0087586A">
        <w:rPr>
          <w:color w:val="010000"/>
        </w:rPr>
        <w:t>5.</w:t>
      </w:r>
      <w:r w:rsidR="0087586A" w:rsidRPr="0087586A">
        <w:rPr>
          <w:color w:val="010000"/>
        </w:rPr>
        <w:t xml:space="preserve"> </w:t>
      </w:r>
      <w:r w:rsidRPr="0087586A">
        <w:rPr>
          <w:color w:val="010000"/>
        </w:rPr>
        <w:t>Adil yargılanma hakkının ihlal edildiği sonucuna ulaşıldığı için ifade özgürlüğü yönünden ayrıca inceleme yapılmasına yer olmadığına karar verilmesi gerekir.</w:t>
      </w:r>
    </w:p>
    <w:p w:rsidR="0032126F" w:rsidRPr="0087586A" w:rsidRDefault="0032126F" w:rsidP="0087586A">
      <w:pPr>
        <w:widowControl/>
        <w:suppressAutoHyphens w:val="0"/>
        <w:spacing w:after="200"/>
        <w:ind w:left="283" w:right="283" w:firstLine="567"/>
        <w:jc w:val="both"/>
        <w:rPr>
          <w:color w:val="010000"/>
        </w:rPr>
      </w:pPr>
      <w:r w:rsidRPr="0087586A">
        <w:rPr>
          <w:b/>
          <w:color w:val="010000"/>
        </w:rPr>
        <w:t>III.</w:t>
      </w:r>
      <w:r w:rsidR="0087586A" w:rsidRPr="0087586A">
        <w:rPr>
          <w:color w:val="010000"/>
        </w:rPr>
        <w:t xml:space="preserve"> </w:t>
      </w:r>
      <w:r w:rsidRPr="0087586A">
        <w:rPr>
          <w:b/>
          <w:color w:val="010000"/>
        </w:rPr>
        <w:t xml:space="preserve">GİDERİM </w:t>
      </w:r>
    </w:p>
    <w:p w:rsidR="0032126F" w:rsidRPr="0087586A" w:rsidRDefault="0032126F" w:rsidP="0087586A">
      <w:pPr>
        <w:widowControl/>
        <w:suppressAutoHyphens w:val="0"/>
        <w:spacing w:after="200"/>
        <w:ind w:left="283" w:right="283" w:firstLine="567"/>
        <w:jc w:val="both"/>
        <w:rPr>
          <w:color w:val="010000"/>
        </w:rPr>
      </w:pPr>
      <w:r w:rsidRPr="0087586A">
        <w:rPr>
          <w:color w:val="010000"/>
        </w:rPr>
        <w:t>6.</w:t>
      </w:r>
      <w:r w:rsidR="0087586A" w:rsidRPr="0087586A">
        <w:rPr>
          <w:color w:val="010000"/>
        </w:rPr>
        <w:t xml:space="preserve"> </w:t>
      </w:r>
      <w:r w:rsidRPr="0087586A">
        <w:rPr>
          <w:color w:val="010000"/>
        </w:rPr>
        <w:t>Başvurucu, ihlalin tespiti ile miktar belirtmeksizin tazminat talebinde bulunmuştur.</w:t>
      </w:r>
    </w:p>
    <w:p w:rsidR="0032126F" w:rsidRPr="0087586A" w:rsidRDefault="0032126F" w:rsidP="0087586A">
      <w:pPr>
        <w:pStyle w:val="edf1450279197849"/>
        <w:widowControl/>
        <w:suppressAutoHyphens w:val="0"/>
        <w:spacing w:after="200"/>
        <w:ind w:left="283" w:right="283" w:firstLine="567"/>
        <w:jc w:val="both"/>
        <w:rPr>
          <w:rFonts w:cs="Times New Roman"/>
          <w:color w:val="010000"/>
        </w:rPr>
      </w:pPr>
      <w:r w:rsidRPr="0087586A">
        <w:rPr>
          <w:rFonts w:cs="Times New Roman"/>
          <w:color w:val="010000"/>
        </w:rPr>
        <w:t>7.</w:t>
      </w:r>
      <w:r w:rsidR="0087586A" w:rsidRPr="0087586A">
        <w:rPr>
          <w:rFonts w:cs="Times New Roman"/>
          <w:color w:val="010000"/>
        </w:rPr>
        <w:t xml:space="preserve"> </w:t>
      </w:r>
      <w:r w:rsidRPr="0087586A">
        <w:rPr>
          <w:rFonts w:cs="Times New Roman"/>
          <w:color w:val="010000"/>
        </w:rPr>
        <w:t>Başvuruda tespit edilen hak ihlalinin sonuçlarının ortadan kaldırılması için yeniden yargılama yapılmasında hukuki yarar bulunmaktadır. Bu kapsamda kararın gönderildiği yargı</w:t>
      </w:r>
      <w:r w:rsidRPr="0087586A">
        <w:rPr>
          <w:rFonts w:cs="Times New Roman"/>
          <w:b/>
          <w:i/>
          <w:iCs/>
          <w:color w:val="010000"/>
        </w:rPr>
        <w:t xml:space="preserve"> </w:t>
      </w:r>
      <w:r w:rsidRPr="0087586A">
        <w:rPr>
          <w:rFonts w:cs="Times New Roman"/>
          <w:color w:val="010000"/>
        </w:rPr>
        <w:t>mercilerince yapılması gereken iş, yeniden yargılama</w:t>
      </w:r>
      <w:r w:rsidRPr="0087586A">
        <w:rPr>
          <w:rFonts w:cs="Times New Roman"/>
          <w:i/>
          <w:iCs/>
          <w:color w:val="010000"/>
        </w:rPr>
        <w:t xml:space="preserve"> </w:t>
      </w:r>
      <w:r w:rsidRPr="0087586A">
        <w:rPr>
          <w:rFonts w:cs="Times New Roman"/>
          <w:color w:val="010000"/>
        </w:rPr>
        <w:t xml:space="preserve">işlemlerini başlatmak ve Anayasa Mahkemesini ihlal sonucuna ulaştıran nedenleri gideren, ihlal kararında belirtilen ilkelere uygun yeni bir karar vermektir (30/3/2011 tarihli ve 6216 sayılı Anayasa Mahkemesinin Kuruluşu ve Yargılama Usulleri Hakkında Kanun'un 50. maddesinin (2) numaralı fıkrasında düzenlenen bireysel başvuruya özgü yeniden yargılama kurumunun özelliklerine ilişkin kapsamlı açıklamalar için bkz. </w:t>
      </w:r>
      <w:r w:rsidRPr="0087586A">
        <w:rPr>
          <w:rFonts w:cs="Times New Roman"/>
          <w:i/>
          <w:iCs/>
          <w:color w:val="010000"/>
        </w:rPr>
        <w:t>Mehmet Doğan</w:t>
      </w:r>
      <w:r w:rsidRPr="0087586A">
        <w:rPr>
          <w:rFonts w:cs="Times New Roman"/>
          <w:color w:val="010000"/>
        </w:rPr>
        <w:t xml:space="preserve"> [GK], B. No: 2014/8875, 7/6/2018, §§ 54-60; </w:t>
      </w:r>
      <w:proofErr w:type="spellStart"/>
      <w:r w:rsidRPr="0087586A">
        <w:rPr>
          <w:rFonts w:cs="Times New Roman"/>
          <w:i/>
          <w:iCs/>
          <w:color w:val="010000"/>
        </w:rPr>
        <w:t>Aligül</w:t>
      </w:r>
      <w:proofErr w:type="spellEnd"/>
      <w:r w:rsidRPr="0087586A">
        <w:rPr>
          <w:rFonts w:cs="Times New Roman"/>
          <w:i/>
          <w:iCs/>
          <w:color w:val="010000"/>
        </w:rPr>
        <w:t xml:space="preserve"> Alkaya ve diğerleri (2)</w:t>
      </w:r>
      <w:r w:rsidRPr="0087586A">
        <w:rPr>
          <w:rFonts w:cs="Times New Roman"/>
          <w:color w:val="010000"/>
        </w:rPr>
        <w:t xml:space="preserve">, B. No: 2016/12506, 7/11/2019, §§ 53-60, 66; </w:t>
      </w:r>
      <w:r w:rsidRPr="0087586A">
        <w:rPr>
          <w:rFonts w:cs="Times New Roman"/>
          <w:i/>
          <w:iCs/>
          <w:color w:val="010000"/>
        </w:rPr>
        <w:t xml:space="preserve">Kadri Enis Berberoğlu (3) </w:t>
      </w:r>
      <w:r w:rsidRPr="0087586A">
        <w:rPr>
          <w:rFonts w:cs="Times New Roman"/>
          <w:color w:val="010000"/>
        </w:rPr>
        <w:t>[GK], B. No: 2020/32949, 21/1/2021, §§ 93-100). İhlalin ve sonuçlarının ortadan kaldırılması için yeniden yargılama yapılmasının yeterli bir giderim sağlayacağı anlaşıldığından tazminat talebinin reddine karar verilmesi gerekir.</w:t>
      </w:r>
    </w:p>
    <w:p w:rsidR="0032126F" w:rsidRPr="0087586A" w:rsidRDefault="0032126F" w:rsidP="0087586A">
      <w:pPr>
        <w:widowControl/>
        <w:suppressAutoHyphens w:val="0"/>
        <w:spacing w:after="200"/>
        <w:ind w:left="283" w:right="283" w:firstLine="567"/>
        <w:jc w:val="both"/>
        <w:rPr>
          <w:color w:val="010000"/>
        </w:rPr>
      </w:pPr>
      <w:r w:rsidRPr="0087586A">
        <w:rPr>
          <w:b/>
          <w:color w:val="010000"/>
        </w:rPr>
        <w:t>IV.</w:t>
      </w:r>
      <w:r w:rsidR="0087586A" w:rsidRPr="0087586A">
        <w:rPr>
          <w:color w:val="010000"/>
        </w:rPr>
        <w:t xml:space="preserve"> </w:t>
      </w:r>
      <w:r w:rsidRPr="0087586A">
        <w:rPr>
          <w:b/>
          <w:color w:val="010000"/>
        </w:rPr>
        <w:t>HÜKÜM</w:t>
      </w:r>
    </w:p>
    <w:p w:rsidR="0032126F" w:rsidRPr="0087586A" w:rsidRDefault="0032126F" w:rsidP="0087586A">
      <w:pPr>
        <w:widowControl/>
        <w:suppressAutoHyphens w:val="0"/>
        <w:spacing w:after="200"/>
        <w:ind w:left="283" w:right="283" w:firstLine="567"/>
        <w:jc w:val="both"/>
        <w:rPr>
          <w:color w:val="010000"/>
        </w:rPr>
      </w:pPr>
      <w:r w:rsidRPr="0087586A">
        <w:rPr>
          <w:color w:val="010000"/>
        </w:rPr>
        <w:t>Açıklanan gerekçelerle;</w:t>
      </w:r>
    </w:p>
    <w:p w:rsidR="0032126F" w:rsidRPr="0087586A" w:rsidRDefault="0032126F" w:rsidP="0087586A">
      <w:pPr>
        <w:widowControl/>
        <w:suppressAutoHyphens w:val="0"/>
        <w:spacing w:after="200"/>
        <w:ind w:left="283" w:right="283" w:firstLine="567"/>
        <w:jc w:val="both"/>
        <w:rPr>
          <w:color w:val="010000"/>
        </w:rPr>
      </w:pPr>
      <w:r w:rsidRPr="0087586A">
        <w:rPr>
          <w:color w:val="010000"/>
        </w:rPr>
        <w:t>A.</w:t>
      </w:r>
      <w:r w:rsidR="0087586A" w:rsidRPr="0087586A">
        <w:rPr>
          <w:color w:val="010000"/>
        </w:rPr>
        <w:t xml:space="preserve"> </w:t>
      </w:r>
      <w:r w:rsidRPr="0087586A">
        <w:rPr>
          <w:color w:val="010000"/>
        </w:rPr>
        <w:t>Adli yardım talebinin KABULÜNE,</w:t>
      </w:r>
    </w:p>
    <w:p w:rsidR="0032126F" w:rsidRPr="0087586A" w:rsidRDefault="0032126F" w:rsidP="0087586A">
      <w:pPr>
        <w:widowControl/>
        <w:suppressAutoHyphens w:val="0"/>
        <w:spacing w:after="200"/>
        <w:ind w:left="283" w:right="283" w:firstLine="567"/>
        <w:jc w:val="both"/>
        <w:rPr>
          <w:color w:val="010000"/>
        </w:rPr>
      </w:pPr>
      <w:r w:rsidRPr="0087586A">
        <w:rPr>
          <w:color w:val="010000"/>
        </w:rPr>
        <w:t>B.</w:t>
      </w:r>
      <w:r w:rsidR="0087586A" w:rsidRPr="0087586A">
        <w:rPr>
          <w:color w:val="010000"/>
        </w:rPr>
        <w:t xml:space="preserve"> </w:t>
      </w:r>
      <w:r w:rsidRPr="0087586A">
        <w:rPr>
          <w:color w:val="010000"/>
        </w:rPr>
        <w:t>1. Silahların eşitliği ve çelişmeli yargılama ilkelerinin ihlal edildiğine ilişkin iddianın KABUL EDİLEBİLİR OLDUĞUNA,</w:t>
      </w:r>
    </w:p>
    <w:p w:rsidR="0032126F" w:rsidRPr="0087586A" w:rsidRDefault="0032126F" w:rsidP="0087586A">
      <w:pPr>
        <w:widowControl/>
        <w:suppressAutoHyphens w:val="0"/>
        <w:spacing w:after="200"/>
        <w:ind w:left="283" w:right="283" w:firstLine="850"/>
        <w:jc w:val="both"/>
        <w:rPr>
          <w:color w:val="010000"/>
        </w:rPr>
      </w:pPr>
      <w:r w:rsidRPr="0087586A">
        <w:rPr>
          <w:color w:val="010000"/>
        </w:rPr>
        <w:t>2.</w:t>
      </w:r>
      <w:r w:rsidR="0087586A" w:rsidRPr="0087586A">
        <w:rPr>
          <w:color w:val="010000"/>
        </w:rPr>
        <w:t xml:space="preserve"> </w:t>
      </w:r>
      <w:r w:rsidRPr="0087586A">
        <w:rPr>
          <w:color w:val="010000"/>
        </w:rPr>
        <w:t>İfade özgürlüğü</w:t>
      </w:r>
      <w:bookmarkStart w:id="0" w:name="_GoBack"/>
      <w:bookmarkEnd w:id="0"/>
      <w:r w:rsidRPr="0087586A">
        <w:rPr>
          <w:color w:val="010000"/>
        </w:rPr>
        <w:t xml:space="preserve"> yönünden İNCELEME YAPILMASINA YER OLMADIĞINA,</w:t>
      </w:r>
    </w:p>
    <w:p w:rsidR="0032126F" w:rsidRPr="0087586A" w:rsidRDefault="0032126F" w:rsidP="0087586A">
      <w:pPr>
        <w:widowControl/>
        <w:suppressAutoHyphens w:val="0"/>
        <w:spacing w:after="200"/>
        <w:ind w:left="283" w:right="283" w:firstLine="567"/>
        <w:jc w:val="both"/>
        <w:rPr>
          <w:color w:val="010000"/>
        </w:rPr>
      </w:pPr>
      <w:r w:rsidRPr="0087586A">
        <w:rPr>
          <w:color w:val="010000"/>
        </w:rPr>
        <w:t>C.</w:t>
      </w:r>
      <w:r w:rsidR="0087586A" w:rsidRPr="0087586A">
        <w:rPr>
          <w:color w:val="010000"/>
        </w:rPr>
        <w:t xml:space="preserve"> </w:t>
      </w:r>
      <w:r w:rsidRPr="0087586A">
        <w:rPr>
          <w:color w:val="010000"/>
        </w:rPr>
        <w:t>Anayasa’nın 36. maddesinde güvence altına alınan adil yargılanma hakkı kapsamındaki silahların eşitliği ve çelişmeli yargılama ilkelerinin İHLAL EDİLDİĞİNE,</w:t>
      </w:r>
    </w:p>
    <w:p w:rsidR="0032126F" w:rsidRPr="0087586A" w:rsidRDefault="0032126F" w:rsidP="0087586A">
      <w:pPr>
        <w:widowControl/>
        <w:suppressAutoHyphens w:val="0"/>
        <w:spacing w:after="200"/>
        <w:ind w:left="283" w:right="283" w:firstLine="567"/>
        <w:jc w:val="both"/>
        <w:rPr>
          <w:color w:val="010000"/>
        </w:rPr>
      </w:pPr>
      <w:r w:rsidRPr="0087586A">
        <w:rPr>
          <w:color w:val="010000"/>
        </w:rPr>
        <w:t>D.</w:t>
      </w:r>
      <w:r w:rsidR="0087586A" w:rsidRPr="0087586A">
        <w:rPr>
          <w:color w:val="010000"/>
        </w:rPr>
        <w:t xml:space="preserve"> </w:t>
      </w:r>
      <w:r w:rsidRPr="0087586A">
        <w:rPr>
          <w:color w:val="010000"/>
        </w:rPr>
        <w:t xml:space="preserve">Kararın bir örneğinin silahların eşitliği ve çelişmeli yargılama ilkelerinin ihlalinin sonuçlarının ortadan kaldırılması için yeniden yargılama yapılmak üzere Bolu 1. Ağır Ceza Mahkemesine (2020/402 </w:t>
      </w:r>
      <w:proofErr w:type="spellStart"/>
      <w:r w:rsidRPr="0087586A">
        <w:rPr>
          <w:color w:val="010000"/>
        </w:rPr>
        <w:t>D.İş</w:t>
      </w:r>
      <w:proofErr w:type="spellEnd"/>
      <w:r w:rsidRPr="0087586A">
        <w:rPr>
          <w:color w:val="010000"/>
        </w:rPr>
        <w:t>) iletilmek üzere Bolu İnfaz Hâkimliğine (E.2020/455, K.2020/647) GÖNDERİLMESİNE,</w:t>
      </w:r>
    </w:p>
    <w:p w:rsidR="0032126F" w:rsidRPr="0087586A" w:rsidRDefault="0032126F" w:rsidP="0087586A">
      <w:pPr>
        <w:widowControl/>
        <w:suppressAutoHyphens w:val="0"/>
        <w:spacing w:after="200"/>
        <w:ind w:left="283" w:right="283" w:firstLine="567"/>
        <w:jc w:val="both"/>
        <w:rPr>
          <w:color w:val="010000"/>
        </w:rPr>
      </w:pPr>
      <w:r w:rsidRPr="0087586A">
        <w:rPr>
          <w:color w:val="010000"/>
        </w:rPr>
        <w:t>E.</w:t>
      </w:r>
      <w:r w:rsidR="0087586A" w:rsidRPr="0087586A">
        <w:rPr>
          <w:color w:val="010000"/>
        </w:rPr>
        <w:t xml:space="preserve"> </w:t>
      </w:r>
      <w:r w:rsidRPr="0087586A">
        <w:rPr>
          <w:color w:val="010000"/>
        </w:rPr>
        <w:t>Başvurucunun tazminata ilişkin talebinin REDDİNE,</w:t>
      </w:r>
    </w:p>
    <w:p w:rsidR="0032126F" w:rsidRPr="0087586A" w:rsidRDefault="0032126F" w:rsidP="0087586A">
      <w:pPr>
        <w:widowControl/>
        <w:suppressAutoHyphens w:val="0"/>
        <w:spacing w:after="200"/>
        <w:ind w:left="283" w:right="283" w:firstLine="567"/>
        <w:jc w:val="both"/>
        <w:rPr>
          <w:color w:val="010000"/>
        </w:rPr>
      </w:pPr>
      <w:r w:rsidRPr="0087586A">
        <w:rPr>
          <w:color w:val="010000"/>
        </w:rPr>
        <w:t>F.</w:t>
      </w:r>
      <w:r w:rsidR="0087586A" w:rsidRPr="0087586A">
        <w:rPr>
          <w:color w:val="010000"/>
        </w:rPr>
        <w:t xml:space="preserve"> </w:t>
      </w:r>
      <w:r w:rsidRPr="0087586A">
        <w:rPr>
          <w:color w:val="010000"/>
        </w:rPr>
        <w:t>Kararın bir örneğinin Adalet Bakanlığına GÖNDERİLMESİNE 18/10/2023 tarihinde OYBİRLİĞİYLEkarar verildi.</w:t>
      </w:r>
    </w:p>
    <w:sectPr w:rsidR="0032126F" w:rsidRPr="0087586A" w:rsidSect="0087586A">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2126F" w:rsidRDefault="0032126F">
      <w:r>
        <w:separator/>
      </w:r>
    </w:p>
  </w:endnote>
  <w:endnote w:type="continuationSeparator" w:id="0">
    <w:p w:rsidR="0032126F" w:rsidRDefault="003212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2126F" w:rsidRDefault="0032126F">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3</w:t>
    </w:r>
    <w:r>
      <w:rPr>
        <w:color w:val="000000"/>
        <w:sz w:val="22"/>
      </w:rPr>
      <w:fldChar w:fldCharType="end"/>
    </w:r>
  </w:p>
  <w:p w:rsidR="0032126F" w:rsidRDefault="0032126F">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2126F" w:rsidRDefault="0032126F">
      <w:r>
        <w:separator/>
      </w:r>
    </w:p>
  </w:footnote>
  <w:footnote w:type="continuationSeparator" w:id="0">
    <w:p w:rsidR="0032126F" w:rsidRDefault="0032126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2126F" w:rsidRDefault="0032126F">
    <w:pPr>
      <w:pStyle w:val="stBilgi"/>
      <w:tabs>
        <w:tab w:val="left" w:pos="2020"/>
      </w:tabs>
      <w:spacing w:line="288" w:lineRule="exact"/>
    </w:pPr>
    <w:r>
      <w:t>Başvuru Numarası</w:t>
    </w:r>
    <w:r>
      <w:tab/>
      <w:t>: 2020/15836</w:t>
    </w:r>
  </w:p>
  <w:p w:rsidR="0032126F" w:rsidRDefault="0032126F" w:rsidP="0087586A">
    <w:pPr>
      <w:pStyle w:val="stBilgi"/>
      <w:tabs>
        <w:tab w:val="left" w:pos="2020"/>
      </w:tabs>
      <w:spacing w:line="288" w:lineRule="exact"/>
    </w:pPr>
    <w:r>
      <w:t>Karar Tarihi</w:t>
    </w:r>
    <w:r>
      <w:tab/>
      <w:t xml:space="preserve">: 18/10/2023 </w:t>
    </w:r>
  </w:p>
  <w:p w:rsidR="0087586A" w:rsidRDefault="0087586A" w:rsidP="0087586A">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CB449B"/>
    <w:rsid w:val="0032126F"/>
    <w:rsid w:val="0087586A"/>
    <w:rsid w:val="00CB449B"/>
    <w:rsid w:val="00E7329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1282FC15"/>
  <w15:chartTrackingRefBased/>
  <w15:docId w15:val="{ADAEFC9B-63BE-43B0-BDC2-CF92302CBC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349962966121">
    <w:name w:val="edf_1349962966121"/>
    <w:pPr>
      <w:widowControl w:val="0"/>
      <w:suppressAutoHyphens/>
    </w:pPr>
    <w:rPr>
      <w:rFonts w:eastAsia="Andale Sans UI" w:cs="Tahoma"/>
      <w:kern w:val="1"/>
      <w:sz w:val="24"/>
      <w:szCs w:val="24"/>
      <w:lang w:eastAsia="fa-IR" w:bidi="fa-IR"/>
    </w:rPr>
  </w:style>
  <w:style w:type="paragraph" w:customStyle="1" w:styleId="edf1449652110386">
    <w:name w:val="edf_1449652110386"/>
    <w:pPr>
      <w:widowControl w:val="0"/>
      <w:suppressAutoHyphens/>
    </w:pPr>
    <w:rPr>
      <w:rFonts w:eastAsia="Andale Sans UI" w:cs="Tahoma"/>
      <w:kern w:val="1"/>
      <w:sz w:val="24"/>
      <w:szCs w:val="24"/>
      <w:lang w:eastAsia="fa-IR" w:bidi="fa-IR"/>
    </w:rPr>
  </w:style>
  <w:style w:type="paragraph" w:customStyle="1" w:styleId="edf1449145527867">
    <w:name w:val="edf_1449145527867"/>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419594272479">
    <w:name w:val="edf_1419594272479"/>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511959760111">
    <w:name w:val="edf_1511959760111"/>
    <w:pPr>
      <w:widowControl w:val="0"/>
      <w:suppressAutoHyphens/>
    </w:pPr>
    <w:rPr>
      <w:rFonts w:eastAsia="Andale Sans UI" w:cs="Tahoma"/>
      <w:kern w:val="1"/>
      <w:sz w:val="24"/>
      <w:szCs w:val="24"/>
      <w:lang w:eastAsia="fa-IR" w:bidi="fa-IR"/>
    </w:rPr>
  </w:style>
  <w:style w:type="paragraph" w:customStyle="1" w:styleId="edf1449652191023">
    <w:name w:val="edf_1449652191023"/>
    <w:pPr>
      <w:widowControl w:val="0"/>
      <w:suppressAutoHyphens/>
    </w:pPr>
    <w:rPr>
      <w:rFonts w:eastAsia="Andale Sans UI" w:cs="Tahoma"/>
      <w:kern w:val="1"/>
      <w:sz w:val="24"/>
      <w:szCs w:val="24"/>
      <w:lang w:eastAsia="fa-IR" w:bidi="fa-IR"/>
    </w:rPr>
  </w:style>
  <w:style w:type="paragraph" w:customStyle="1" w:styleId="edf1450279197847">
    <w:name w:val="edf_1450279197847"/>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419597503565">
    <w:name w:val="edf_1419597503565"/>
    <w:pPr>
      <w:widowControl w:val="0"/>
      <w:suppressAutoHyphens/>
    </w:pPr>
    <w:rPr>
      <w:rFonts w:eastAsia="Andale Sans UI" w:cs="Tahoma"/>
      <w:kern w:val="1"/>
      <w:sz w:val="24"/>
      <w:szCs w:val="24"/>
      <w:lang w:eastAsia="fa-IR" w:bidi="fa-IR"/>
    </w:rPr>
  </w:style>
  <w:style w:type="paragraph" w:customStyle="1" w:styleId="edf1363589658683">
    <w:name w:val="edf_1363589658683"/>
    <w:pPr>
      <w:widowControl w:val="0"/>
      <w:suppressAutoHyphens/>
    </w:pPr>
    <w:rPr>
      <w:rFonts w:eastAsia="Andale Sans UI" w:cs="Tahoma"/>
      <w:kern w:val="1"/>
      <w:sz w:val="24"/>
      <w:szCs w:val="24"/>
      <w:lang w:eastAsia="fa-IR" w:bidi="fa-IR"/>
    </w:rPr>
  </w:style>
  <w:style w:type="paragraph" w:customStyle="1" w:styleId="edf1394005017818">
    <w:name w:val="edf_1394005017818"/>
    <w:pPr>
      <w:widowControl w:val="0"/>
      <w:suppressAutoHyphens/>
    </w:pPr>
    <w:rPr>
      <w:rFonts w:eastAsia="Andale Sans UI" w:cs="Tahoma"/>
      <w:kern w:val="1"/>
      <w:sz w:val="24"/>
      <w:szCs w:val="24"/>
      <w:lang w:eastAsia="fa-IR" w:bidi="fa-IR"/>
    </w:rPr>
  </w:style>
  <w:style w:type="paragraph" w:customStyle="1" w:styleId="edf1363590918387">
    <w:name w:val="edf_1363590918387"/>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702</Words>
  <Characters>4003</Characters>
  <Application>Microsoft Office Word</Application>
  <DocSecurity>0</DocSecurity>
  <Lines>33</Lines>
  <Paragraphs>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4696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KAVUN</dc:creator>
  <cp:keywords/>
  <cp:lastModifiedBy>Sibel YÖNDEM</cp:lastModifiedBy>
  <cp:revision>3</cp:revision>
  <cp:lastPrinted>1899-12-31T21:00:00Z</cp:lastPrinted>
  <dcterms:created xsi:type="dcterms:W3CDTF">2024-01-12T12:43:00Z</dcterms:created>
  <dcterms:modified xsi:type="dcterms:W3CDTF">2024-01-15T17:13:00Z</dcterms:modified>
</cp:coreProperties>
</file>