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23176" w:rsidRDefault="00E23176" w:rsidP="00E23176">
      <w:pPr>
        <w:widowControl/>
        <w:suppressAutoHyphens w:val="0"/>
        <w:spacing w:after="200"/>
        <w:ind w:left="283" w:right="283" w:firstLine="567"/>
        <w:jc w:val="both"/>
        <w:rPr>
          <w:b/>
          <w:color w:val="010000"/>
          <w:sz w:val="28"/>
        </w:rPr>
      </w:pPr>
    </w:p>
    <w:p w:rsidR="00E23176" w:rsidRDefault="00E23176" w:rsidP="00E23176">
      <w:pPr>
        <w:widowControl/>
        <w:suppressAutoHyphens w:val="0"/>
        <w:spacing w:after="200"/>
        <w:ind w:left="283" w:right="283" w:firstLine="567"/>
        <w:jc w:val="both"/>
        <w:rPr>
          <w:b/>
          <w:color w:val="010000"/>
          <w:sz w:val="28"/>
        </w:rPr>
      </w:pPr>
    </w:p>
    <w:p w:rsidR="00E23176" w:rsidRDefault="00E23176" w:rsidP="00E23176">
      <w:pPr>
        <w:widowControl/>
        <w:suppressAutoHyphens w:val="0"/>
        <w:spacing w:after="200"/>
        <w:ind w:left="283" w:right="283" w:firstLine="567"/>
        <w:jc w:val="both"/>
        <w:rPr>
          <w:b/>
          <w:color w:val="010000"/>
          <w:sz w:val="28"/>
        </w:rPr>
      </w:pPr>
    </w:p>
    <w:p w:rsidR="00E23176" w:rsidRDefault="00E23176" w:rsidP="00E23176">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sz w:val="28"/>
              </w:rPr>
            </w:pPr>
            <w:r>
              <w:rPr>
                <w:b/>
                <w:color w:val="010000"/>
                <w:sz w:val="28"/>
              </w:rPr>
              <w:t>TÜRKİYE CUMHURİYETİ</w:t>
            </w: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sz w:val="32"/>
              </w:rPr>
            </w:pPr>
            <w:r>
              <w:rPr>
                <w:b/>
                <w:color w:val="010000"/>
                <w:sz w:val="32"/>
              </w:rPr>
              <w:t>ANAYASA MAHKEMESİ</w:t>
            </w: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r>
              <w:rPr>
                <w:b/>
                <w:color w:val="010000"/>
              </w:rPr>
              <w:t>BİRİNCİ BÖLÜM</w:t>
            </w: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r>
              <w:rPr>
                <w:b/>
                <w:color w:val="010000"/>
              </w:rPr>
              <w:t>KARAR</w:t>
            </w: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r>
              <w:rPr>
                <w:b/>
                <w:color w:val="010000"/>
              </w:rPr>
              <w:t>KEMAL GÜÇTEKİN BAŞVURUSU</w:t>
            </w: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color w:val="010000"/>
              </w:rPr>
            </w:pPr>
            <w:r>
              <w:rPr>
                <w:color w:val="010000"/>
              </w:rPr>
              <w:t>(Başvuru Numarası: 2020/21325)</w:t>
            </w: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color w:val="010000"/>
              </w:rPr>
            </w:pPr>
            <w:r>
              <w:rPr>
                <w:color w:val="010000"/>
              </w:rPr>
              <w:t>Karar Tarihi: 19/10/2023</w:t>
            </w: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color w:val="010000"/>
              </w:rPr>
            </w:pP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p>
        </w:tc>
      </w:tr>
      <w:tr w:rsidR="00E23176" w:rsidRPr="00E23176" w:rsidTr="00E23176">
        <w:tblPrEx>
          <w:tblCellMar>
            <w:top w:w="0" w:type="dxa"/>
            <w:bottom w:w="0" w:type="dxa"/>
          </w:tblCellMar>
        </w:tblPrEx>
        <w:trPr>
          <w:trHeight w:val="500"/>
          <w:jc w:val="center"/>
        </w:trPr>
        <w:tc>
          <w:tcPr>
            <w:tcW w:w="9072" w:type="dxa"/>
            <w:vAlign w:val="center"/>
          </w:tcPr>
          <w:p w:rsidR="00E23176" w:rsidRPr="00E23176" w:rsidRDefault="00E23176" w:rsidP="00E23176">
            <w:pPr>
              <w:widowControl/>
              <w:suppressAutoHyphens w:val="0"/>
              <w:spacing w:after="200"/>
              <w:ind w:right="283"/>
              <w:jc w:val="center"/>
              <w:rPr>
                <w:b/>
                <w:color w:val="010000"/>
              </w:rPr>
            </w:pPr>
          </w:p>
        </w:tc>
      </w:tr>
    </w:tbl>
    <w:p w:rsidR="00E23176" w:rsidRDefault="00E23176" w:rsidP="00E23176">
      <w:pPr>
        <w:widowControl/>
        <w:suppressAutoHyphens w:val="0"/>
        <w:spacing w:after="200"/>
        <w:ind w:left="283" w:right="283" w:firstLine="567"/>
        <w:jc w:val="both"/>
        <w:rPr>
          <w:b/>
          <w:color w:val="010000"/>
        </w:rPr>
        <w:sectPr w:rsidR="00E23176" w:rsidSect="00E23176">
          <w:headerReference w:type="default" r:id="rId6"/>
          <w:footerReference w:type="default" r:id="rId7"/>
          <w:pgSz w:w="11906" w:h="16838"/>
          <w:pgMar w:top="976" w:right="1417" w:bottom="941" w:left="1417" w:header="400" w:footer="400" w:gutter="0"/>
          <w:cols w:space="708"/>
          <w:titlePg/>
          <w:docGrid w:linePitch="326"/>
        </w:sectPr>
      </w:pPr>
    </w:p>
    <w:p w:rsidR="00E23176" w:rsidRDefault="00E23176" w:rsidP="00E23176">
      <w:pPr>
        <w:widowControl/>
        <w:suppressAutoHyphens w:val="0"/>
        <w:spacing w:after="200"/>
        <w:ind w:left="283" w:right="283" w:firstLine="567"/>
        <w:jc w:val="both"/>
        <w:rPr>
          <w:b/>
          <w:color w:val="010000"/>
        </w:rPr>
      </w:pPr>
    </w:p>
    <w:p w:rsidR="007A2B5F" w:rsidRPr="00E23176" w:rsidRDefault="00CB14EB" w:rsidP="00E23176">
      <w:pPr>
        <w:widowControl/>
        <w:suppressAutoHyphens w:val="0"/>
        <w:spacing w:after="200"/>
        <w:ind w:left="283" w:right="283" w:firstLine="1"/>
        <w:jc w:val="center"/>
        <w:rPr>
          <w:color w:val="010000"/>
        </w:rPr>
      </w:pPr>
      <w:r w:rsidRPr="00E23176">
        <w:rPr>
          <w:b/>
          <w:color w:val="010000"/>
        </w:rPr>
        <w:t>BİRİNCİ BÖLÜM</w:t>
      </w:r>
    </w:p>
    <w:p w:rsidR="007A2B5F" w:rsidRPr="00E23176" w:rsidRDefault="00CB14EB" w:rsidP="00E23176">
      <w:pPr>
        <w:widowControl/>
        <w:suppressAutoHyphens w:val="0"/>
        <w:spacing w:after="200"/>
        <w:ind w:left="283" w:right="283" w:firstLine="1"/>
        <w:jc w:val="center"/>
        <w:rPr>
          <w:color w:val="010000"/>
        </w:rPr>
      </w:pPr>
      <w:r w:rsidRPr="00E23176">
        <w:rPr>
          <w:b/>
          <w:color w:val="010000"/>
        </w:rPr>
        <w:t>KARAR</w:t>
      </w:r>
    </w:p>
    <w:p w:rsidR="00E23176" w:rsidRDefault="00E23176" w:rsidP="00E23176">
      <w:pPr>
        <w:pStyle w:val="edf1450279197849"/>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E23176" w:rsidRPr="00E23176" w:rsidTr="00E23176">
        <w:tblPrEx>
          <w:tblCellMar>
            <w:top w:w="0" w:type="dxa"/>
            <w:bottom w:w="0" w:type="dxa"/>
          </w:tblCellMar>
        </w:tblPrEx>
        <w:trPr>
          <w:trHeight w:val="454"/>
        </w:trPr>
        <w:tc>
          <w:tcPr>
            <w:tcW w:w="2400" w:type="dxa"/>
          </w:tcPr>
          <w:p w:rsidR="00E23176" w:rsidRPr="00E23176" w:rsidRDefault="00E23176" w:rsidP="00E23176">
            <w:pPr>
              <w:pStyle w:val="edf1450279197849"/>
              <w:widowControl/>
              <w:suppressAutoHyphens w:val="0"/>
              <w:rPr>
                <w:rFonts w:cs="Times New Roman"/>
                <w:b/>
                <w:color w:val="010000"/>
              </w:rPr>
            </w:pPr>
            <w:r w:rsidRPr="00E23176">
              <w:rPr>
                <w:rFonts w:cs="Times New Roman"/>
                <w:b/>
                <w:color w:val="010000"/>
              </w:rPr>
              <w:t>Başkan</w:t>
            </w:r>
          </w:p>
        </w:tc>
        <w:tc>
          <w:tcPr>
            <w:tcW w:w="200" w:type="dxa"/>
          </w:tcPr>
          <w:p w:rsidR="00E23176" w:rsidRPr="00E23176" w:rsidRDefault="00E23176" w:rsidP="00E23176">
            <w:pPr>
              <w:pStyle w:val="edf1450279197849"/>
              <w:widowControl/>
              <w:suppressAutoHyphens w:val="0"/>
              <w:rPr>
                <w:rFonts w:cs="Times New Roman"/>
                <w:b/>
                <w:color w:val="010000"/>
              </w:rPr>
            </w:pPr>
            <w:r w:rsidRPr="00E23176">
              <w:rPr>
                <w:rFonts w:cs="Times New Roman"/>
                <w:b/>
                <w:color w:val="010000"/>
              </w:rPr>
              <w:t>:</w:t>
            </w:r>
          </w:p>
        </w:tc>
        <w:tc>
          <w:tcPr>
            <w:tcW w:w="5400" w:type="dxa"/>
          </w:tcPr>
          <w:p w:rsidR="00E23176" w:rsidRPr="00E23176" w:rsidRDefault="00E23176" w:rsidP="00E23176">
            <w:pPr>
              <w:pStyle w:val="edf1450279197849"/>
              <w:widowControl/>
              <w:suppressAutoHyphens w:val="0"/>
              <w:rPr>
                <w:rFonts w:cs="Times New Roman"/>
                <w:color w:val="010000"/>
              </w:rPr>
            </w:pPr>
            <w:r w:rsidRPr="00E23176">
              <w:rPr>
                <w:rFonts w:cs="Times New Roman"/>
                <w:color w:val="010000"/>
              </w:rPr>
              <w:t>Hasan Tahsin GÖKCAN</w:t>
            </w:r>
          </w:p>
        </w:tc>
      </w:tr>
      <w:tr w:rsidR="00E23176" w:rsidRPr="00E23176" w:rsidTr="00E23176">
        <w:tblPrEx>
          <w:tblCellMar>
            <w:top w:w="0" w:type="dxa"/>
            <w:bottom w:w="0" w:type="dxa"/>
          </w:tblCellMar>
        </w:tblPrEx>
        <w:trPr>
          <w:trHeight w:val="454"/>
        </w:trPr>
        <w:tc>
          <w:tcPr>
            <w:tcW w:w="2400" w:type="dxa"/>
          </w:tcPr>
          <w:p w:rsidR="00E23176" w:rsidRPr="00E23176" w:rsidRDefault="00E23176" w:rsidP="00E23176">
            <w:pPr>
              <w:pStyle w:val="edf1450279197849"/>
              <w:widowControl/>
              <w:suppressAutoHyphens w:val="0"/>
              <w:rPr>
                <w:rFonts w:cs="Times New Roman"/>
                <w:b/>
                <w:color w:val="010000"/>
              </w:rPr>
            </w:pPr>
            <w:r w:rsidRPr="00E23176">
              <w:rPr>
                <w:rFonts w:cs="Times New Roman"/>
                <w:b/>
                <w:color w:val="010000"/>
              </w:rPr>
              <w:t>Üyeler</w:t>
            </w:r>
          </w:p>
        </w:tc>
        <w:tc>
          <w:tcPr>
            <w:tcW w:w="200" w:type="dxa"/>
          </w:tcPr>
          <w:p w:rsidR="00E23176" w:rsidRPr="00E23176" w:rsidRDefault="00E23176" w:rsidP="00E23176">
            <w:pPr>
              <w:pStyle w:val="edf1450279197849"/>
              <w:widowControl/>
              <w:suppressAutoHyphens w:val="0"/>
              <w:rPr>
                <w:rFonts w:cs="Times New Roman"/>
                <w:b/>
                <w:color w:val="010000"/>
              </w:rPr>
            </w:pPr>
            <w:r w:rsidRPr="00E23176">
              <w:rPr>
                <w:rFonts w:cs="Times New Roman"/>
                <w:b/>
                <w:color w:val="010000"/>
              </w:rPr>
              <w:t>:</w:t>
            </w:r>
          </w:p>
        </w:tc>
        <w:tc>
          <w:tcPr>
            <w:tcW w:w="5400" w:type="dxa"/>
          </w:tcPr>
          <w:p w:rsidR="00E23176" w:rsidRPr="00E23176" w:rsidRDefault="00E23176" w:rsidP="00E23176">
            <w:pPr>
              <w:pStyle w:val="edf1450279197849"/>
              <w:widowControl/>
              <w:suppressAutoHyphens w:val="0"/>
              <w:rPr>
                <w:rFonts w:cs="Times New Roman"/>
                <w:color w:val="010000"/>
              </w:rPr>
            </w:pPr>
            <w:r w:rsidRPr="00E23176">
              <w:rPr>
                <w:rFonts w:cs="Times New Roman"/>
                <w:color w:val="010000"/>
              </w:rPr>
              <w:t>Muammer TOPAL</w:t>
            </w:r>
          </w:p>
        </w:tc>
      </w:tr>
      <w:tr w:rsidR="00E23176" w:rsidRPr="00E23176" w:rsidTr="00E23176">
        <w:tblPrEx>
          <w:tblCellMar>
            <w:top w:w="0" w:type="dxa"/>
            <w:bottom w:w="0" w:type="dxa"/>
          </w:tblCellMar>
        </w:tblPrEx>
        <w:trPr>
          <w:trHeight w:val="454"/>
        </w:trPr>
        <w:tc>
          <w:tcPr>
            <w:tcW w:w="2400" w:type="dxa"/>
          </w:tcPr>
          <w:p w:rsidR="00E23176" w:rsidRPr="00E23176" w:rsidRDefault="00E23176" w:rsidP="00E23176">
            <w:pPr>
              <w:pStyle w:val="edf1450279197849"/>
              <w:widowControl/>
              <w:suppressAutoHyphens w:val="0"/>
              <w:rPr>
                <w:rFonts w:cs="Times New Roman"/>
                <w:b/>
                <w:color w:val="010000"/>
              </w:rPr>
            </w:pPr>
          </w:p>
        </w:tc>
        <w:tc>
          <w:tcPr>
            <w:tcW w:w="200" w:type="dxa"/>
          </w:tcPr>
          <w:p w:rsidR="00E23176" w:rsidRPr="00E23176" w:rsidRDefault="00E23176" w:rsidP="00E23176">
            <w:pPr>
              <w:pStyle w:val="edf1450279197849"/>
              <w:widowControl/>
              <w:suppressAutoHyphens w:val="0"/>
              <w:rPr>
                <w:rFonts w:cs="Times New Roman"/>
                <w:b/>
                <w:color w:val="010000"/>
              </w:rPr>
            </w:pPr>
          </w:p>
        </w:tc>
        <w:tc>
          <w:tcPr>
            <w:tcW w:w="5400" w:type="dxa"/>
          </w:tcPr>
          <w:p w:rsidR="00E23176" w:rsidRPr="00E23176" w:rsidRDefault="00E23176" w:rsidP="00E23176">
            <w:pPr>
              <w:pStyle w:val="edf1450279197849"/>
              <w:widowControl/>
              <w:suppressAutoHyphens w:val="0"/>
              <w:rPr>
                <w:rFonts w:cs="Times New Roman"/>
                <w:color w:val="010000"/>
              </w:rPr>
            </w:pPr>
            <w:r w:rsidRPr="00E23176">
              <w:rPr>
                <w:rFonts w:cs="Times New Roman"/>
                <w:color w:val="010000"/>
              </w:rPr>
              <w:t>Yusuf Şevki HAKYEMEZ</w:t>
            </w:r>
          </w:p>
        </w:tc>
      </w:tr>
      <w:tr w:rsidR="00E23176" w:rsidRPr="00E23176" w:rsidTr="00E23176">
        <w:tblPrEx>
          <w:tblCellMar>
            <w:top w:w="0" w:type="dxa"/>
            <w:bottom w:w="0" w:type="dxa"/>
          </w:tblCellMar>
        </w:tblPrEx>
        <w:trPr>
          <w:trHeight w:val="454"/>
        </w:trPr>
        <w:tc>
          <w:tcPr>
            <w:tcW w:w="2400" w:type="dxa"/>
          </w:tcPr>
          <w:p w:rsidR="00E23176" w:rsidRPr="00E23176" w:rsidRDefault="00E23176" w:rsidP="00E23176">
            <w:pPr>
              <w:pStyle w:val="edf1450279197849"/>
              <w:widowControl/>
              <w:suppressAutoHyphens w:val="0"/>
              <w:rPr>
                <w:rFonts w:cs="Times New Roman"/>
                <w:b/>
                <w:color w:val="010000"/>
              </w:rPr>
            </w:pPr>
          </w:p>
        </w:tc>
        <w:tc>
          <w:tcPr>
            <w:tcW w:w="200" w:type="dxa"/>
          </w:tcPr>
          <w:p w:rsidR="00E23176" w:rsidRPr="00E23176" w:rsidRDefault="00E23176" w:rsidP="00E23176">
            <w:pPr>
              <w:pStyle w:val="edf1450279197849"/>
              <w:widowControl/>
              <w:suppressAutoHyphens w:val="0"/>
              <w:rPr>
                <w:rFonts w:cs="Times New Roman"/>
                <w:b/>
                <w:color w:val="010000"/>
              </w:rPr>
            </w:pPr>
          </w:p>
        </w:tc>
        <w:tc>
          <w:tcPr>
            <w:tcW w:w="5400" w:type="dxa"/>
          </w:tcPr>
          <w:p w:rsidR="00E23176" w:rsidRPr="00E23176" w:rsidRDefault="00E23176" w:rsidP="00E23176">
            <w:pPr>
              <w:pStyle w:val="edf1450279197849"/>
              <w:widowControl/>
              <w:suppressAutoHyphens w:val="0"/>
              <w:rPr>
                <w:rFonts w:cs="Times New Roman"/>
                <w:color w:val="010000"/>
              </w:rPr>
            </w:pPr>
            <w:r w:rsidRPr="00E23176">
              <w:rPr>
                <w:rFonts w:cs="Times New Roman"/>
                <w:color w:val="010000"/>
              </w:rPr>
              <w:t>Selahaddin MENTEŞ</w:t>
            </w:r>
          </w:p>
        </w:tc>
      </w:tr>
      <w:tr w:rsidR="00E23176" w:rsidRPr="00E23176" w:rsidTr="00E23176">
        <w:tblPrEx>
          <w:tblCellMar>
            <w:top w:w="0" w:type="dxa"/>
            <w:bottom w:w="0" w:type="dxa"/>
          </w:tblCellMar>
        </w:tblPrEx>
        <w:trPr>
          <w:trHeight w:val="454"/>
        </w:trPr>
        <w:tc>
          <w:tcPr>
            <w:tcW w:w="2400" w:type="dxa"/>
          </w:tcPr>
          <w:p w:rsidR="00E23176" w:rsidRPr="00E23176" w:rsidRDefault="00E23176" w:rsidP="00E23176">
            <w:pPr>
              <w:pStyle w:val="edf1450279197849"/>
              <w:widowControl/>
              <w:suppressAutoHyphens w:val="0"/>
              <w:rPr>
                <w:rFonts w:cs="Times New Roman"/>
                <w:b/>
                <w:color w:val="010000"/>
              </w:rPr>
            </w:pPr>
          </w:p>
        </w:tc>
        <w:tc>
          <w:tcPr>
            <w:tcW w:w="200" w:type="dxa"/>
          </w:tcPr>
          <w:p w:rsidR="00E23176" w:rsidRPr="00E23176" w:rsidRDefault="00E23176" w:rsidP="00E23176">
            <w:pPr>
              <w:pStyle w:val="edf1450279197849"/>
              <w:widowControl/>
              <w:suppressAutoHyphens w:val="0"/>
              <w:rPr>
                <w:rFonts w:cs="Times New Roman"/>
                <w:b/>
                <w:color w:val="010000"/>
              </w:rPr>
            </w:pPr>
          </w:p>
        </w:tc>
        <w:tc>
          <w:tcPr>
            <w:tcW w:w="5400" w:type="dxa"/>
          </w:tcPr>
          <w:p w:rsidR="00E23176" w:rsidRPr="00E23176" w:rsidRDefault="00E23176" w:rsidP="00E23176">
            <w:pPr>
              <w:pStyle w:val="edf1450279197849"/>
              <w:widowControl/>
              <w:suppressAutoHyphens w:val="0"/>
              <w:rPr>
                <w:rFonts w:cs="Times New Roman"/>
                <w:color w:val="010000"/>
              </w:rPr>
            </w:pPr>
            <w:r w:rsidRPr="00E23176">
              <w:rPr>
                <w:rFonts w:cs="Times New Roman"/>
                <w:color w:val="010000"/>
              </w:rPr>
              <w:t>İrfan FİDAN</w:t>
            </w:r>
          </w:p>
        </w:tc>
      </w:tr>
      <w:tr w:rsidR="00E23176" w:rsidRPr="00E23176" w:rsidTr="00E23176">
        <w:tblPrEx>
          <w:tblCellMar>
            <w:top w:w="0" w:type="dxa"/>
            <w:bottom w:w="0" w:type="dxa"/>
          </w:tblCellMar>
        </w:tblPrEx>
        <w:trPr>
          <w:trHeight w:val="454"/>
        </w:trPr>
        <w:tc>
          <w:tcPr>
            <w:tcW w:w="2400" w:type="dxa"/>
          </w:tcPr>
          <w:p w:rsidR="00E23176" w:rsidRPr="00E23176" w:rsidRDefault="00E23176" w:rsidP="00E23176">
            <w:pPr>
              <w:pStyle w:val="edf1450279197849"/>
              <w:widowControl/>
              <w:suppressAutoHyphens w:val="0"/>
              <w:rPr>
                <w:rFonts w:cs="Times New Roman"/>
                <w:b/>
                <w:color w:val="010000"/>
              </w:rPr>
            </w:pPr>
            <w:r w:rsidRPr="00E23176">
              <w:rPr>
                <w:rFonts w:cs="Times New Roman"/>
                <w:b/>
                <w:color w:val="010000"/>
              </w:rPr>
              <w:t>Raportör</w:t>
            </w:r>
          </w:p>
        </w:tc>
        <w:tc>
          <w:tcPr>
            <w:tcW w:w="200" w:type="dxa"/>
          </w:tcPr>
          <w:p w:rsidR="00E23176" w:rsidRPr="00E23176" w:rsidRDefault="00E23176" w:rsidP="00E23176">
            <w:pPr>
              <w:pStyle w:val="edf1450279197849"/>
              <w:widowControl/>
              <w:suppressAutoHyphens w:val="0"/>
              <w:rPr>
                <w:rFonts w:cs="Times New Roman"/>
                <w:b/>
                <w:color w:val="010000"/>
              </w:rPr>
            </w:pPr>
            <w:r w:rsidRPr="00E23176">
              <w:rPr>
                <w:rFonts w:cs="Times New Roman"/>
                <w:b/>
                <w:color w:val="010000"/>
              </w:rPr>
              <w:t>:</w:t>
            </w:r>
          </w:p>
        </w:tc>
        <w:tc>
          <w:tcPr>
            <w:tcW w:w="5400" w:type="dxa"/>
          </w:tcPr>
          <w:p w:rsidR="00E23176" w:rsidRPr="00E23176" w:rsidRDefault="00E23176" w:rsidP="00E23176">
            <w:pPr>
              <w:pStyle w:val="edf1450279197849"/>
              <w:widowControl/>
              <w:suppressAutoHyphens w:val="0"/>
              <w:rPr>
                <w:rFonts w:cs="Times New Roman"/>
                <w:color w:val="010000"/>
              </w:rPr>
            </w:pPr>
            <w:r w:rsidRPr="00E23176">
              <w:rPr>
                <w:rFonts w:cs="Times New Roman"/>
                <w:color w:val="010000"/>
              </w:rPr>
              <w:t>Osman KODAL</w:t>
            </w:r>
          </w:p>
        </w:tc>
      </w:tr>
      <w:tr w:rsidR="00E23176" w:rsidRPr="00E23176" w:rsidTr="00E23176">
        <w:tblPrEx>
          <w:tblCellMar>
            <w:top w:w="0" w:type="dxa"/>
            <w:bottom w:w="0" w:type="dxa"/>
          </w:tblCellMar>
        </w:tblPrEx>
        <w:trPr>
          <w:trHeight w:val="454"/>
        </w:trPr>
        <w:tc>
          <w:tcPr>
            <w:tcW w:w="2400" w:type="dxa"/>
          </w:tcPr>
          <w:p w:rsidR="00E23176" w:rsidRPr="00E23176" w:rsidRDefault="00E23176" w:rsidP="00E23176">
            <w:pPr>
              <w:pStyle w:val="edf1450279197849"/>
              <w:widowControl/>
              <w:suppressAutoHyphens w:val="0"/>
              <w:rPr>
                <w:rFonts w:cs="Times New Roman"/>
                <w:b/>
                <w:color w:val="010000"/>
              </w:rPr>
            </w:pPr>
            <w:r w:rsidRPr="00E23176">
              <w:rPr>
                <w:rFonts w:cs="Times New Roman"/>
                <w:b/>
                <w:color w:val="010000"/>
              </w:rPr>
              <w:t>Başvurucu</w:t>
            </w:r>
          </w:p>
        </w:tc>
        <w:tc>
          <w:tcPr>
            <w:tcW w:w="200" w:type="dxa"/>
          </w:tcPr>
          <w:p w:rsidR="00E23176" w:rsidRPr="00E23176" w:rsidRDefault="00E23176" w:rsidP="00E23176">
            <w:pPr>
              <w:pStyle w:val="edf1450279197849"/>
              <w:widowControl/>
              <w:suppressAutoHyphens w:val="0"/>
              <w:rPr>
                <w:rFonts w:cs="Times New Roman"/>
                <w:b/>
                <w:color w:val="010000"/>
              </w:rPr>
            </w:pPr>
            <w:r w:rsidRPr="00E23176">
              <w:rPr>
                <w:rFonts w:cs="Times New Roman"/>
                <w:b/>
                <w:color w:val="010000"/>
              </w:rPr>
              <w:t>:</w:t>
            </w:r>
          </w:p>
        </w:tc>
        <w:tc>
          <w:tcPr>
            <w:tcW w:w="5400" w:type="dxa"/>
          </w:tcPr>
          <w:p w:rsidR="00E23176" w:rsidRPr="00E23176" w:rsidRDefault="00E23176" w:rsidP="00E23176">
            <w:pPr>
              <w:pStyle w:val="edf1450279197849"/>
              <w:widowControl/>
              <w:suppressAutoHyphens w:val="0"/>
              <w:rPr>
                <w:rFonts w:cs="Times New Roman"/>
                <w:color w:val="010000"/>
              </w:rPr>
            </w:pPr>
            <w:r w:rsidRPr="00E23176">
              <w:rPr>
                <w:rFonts w:cs="Times New Roman"/>
                <w:color w:val="010000"/>
              </w:rPr>
              <w:t>Kemal GÜÇTEKİN</w:t>
            </w:r>
          </w:p>
        </w:tc>
      </w:tr>
      <w:tr w:rsidR="00E23176" w:rsidRPr="00E23176" w:rsidTr="00E23176">
        <w:tblPrEx>
          <w:tblCellMar>
            <w:top w:w="0" w:type="dxa"/>
            <w:bottom w:w="0" w:type="dxa"/>
          </w:tblCellMar>
        </w:tblPrEx>
        <w:trPr>
          <w:trHeight w:val="454"/>
        </w:trPr>
        <w:tc>
          <w:tcPr>
            <w:tcW w:w="2400" w:type="dxa"/>
          </w:tcPr>
          <w:p w:rsidR="00E23176" w:rsidRPr="00E23176" w:rsidRDefault="00E23176" w:rsidP="00E23176">
            <w:pPr>
              <w:pStyle w:val="edf1450279197849"/>
              <w:widowControl/>
              <w:suppressAutoHyphens w:val="0"/>
              <w:rPr>
                <w:rFonts w:cs="Times New Roman"/>
                <w:b/>
                <w:color w:val="010000"/>
              </w:rPr>
            </w:pPr>
            <w:r w:rsidRPr="00E23176">
              <w:rPr>
                <w:rFonts w:cs="Times New Roman"/>
                <w:b/>
                <w:color w:val="010000"/>
              </w:rPr>
              <w:t>Vekili</w:t>
            </w:r>
          </w:p>
        </w:tc>
        <w:tc>
          <w:tcPr>
            <w:tcW w:w="200" w:type="dxa"/>
          </w:tcPr>
          <w:p w:rsidR="00E23176" w:rsidRPr="00E23176" w:rsidRDefault="00E23176" w:rsidP="00E23176">
            <w:pPr>
              <w:pStyle w:val="edf1450279197849"/>
              <w:widowControl/>
              <w:suppressAutoHyphens w:val="0"/>
              <w:rPr>
                <w:rFonts w:cs="Times New Roman"/>
                <w:b/>
                <w:color w:val="010000"/>
              </w:rPr>
            </w:pPr>
            <w:r w:rsidRPr="00E23176">
              <w:rPr>
                <w:rFonts w:cs="Times New Roman"/>
                <w:b/>
                <w:color w:val="010000"/>
              </w:rPr>
              <w:t>:</w:t>
            </w:r>
          </w:p>
        </w:tc>
        <w:tc>
          <w:tcPr>
            <w:tcW w:w="5400" w:type="dxa"/>
          </w:tcPr>
          <w:p w:rsidR="00E23176" w:rsidRPr="00E23176" w:rsidRDefault="00E23176" w:rsidP="00E23176">
            <w:pPr>
              <w:pStyle w:val="edf1450279197849"/>
              <w:widowControl/>
              <w:suppressAutoHyphens w:val="0"/>
              <w:rPr>
                <w:rFonts w:cs="Times New Roman"/>
                <w:color w:val="010000"/>
              </w:rPr>
            </w:pPr>
            <w:r w:rsidRPr="00E23176">
              <w:rPr>
                <w:rFonts w:cs="Times New Roman"/>
                <w:color w:val="010000"/>
              </w:rPr>
              <w:t>Av. Halil Şahin DOST</w:t>
            </w:r>
          </w:p>
        </w:tc>
      </w:tr>
    </w:tbl>
    <w:p w:rsidR="00E23176" w:rsidRDefault="00E23176" w:rsidP="00E23176">
      <w:pPr>
        <w:pStyle w:val="edf1450279197849"/>
        <w:widowControl/>
        <w:suppressAutoHyphens w:val="0"/>
        <w:spacing w:after="200"/>
        <w:ind w:left="283" w:right="283" w:firstLine="567"/>
        <w:jc w:val="both"/>
        <w:rPr>
          <w:rFonts w:cs="Times New Roman"/>
          <w:b/>
          <w:color w:val="010000"/>
        </w:rPr>
      </w:pPr>
    </w:p>
    <w:p w:rsidR="007A2B5F" w:rsidRPr="00E23176" w:rsidRDefault="00CB14EB" w:rsidP="00E23176">
      <w:pPr>
        <w:pStyle w:val="edf1450279197849"/>
        <w:widowControl/>
        <w:suppressAutoHyphens w:val="0"/>
        <w:spacing w:after="200"/>
        <w:ind w:left="283" w:right="283" w:firstLine="567"/>
        <w:jc w:val="both"/>
        <w:rPr>
          <w:rFonts w:cs="Times New Roman"/>
          <w:color w:val="010000"/>
        </w:rPr>
      </w:pPr>
      <w:r w:rsidRPr="00E23176">
        <w:rPr>
          <w:rFonts w:cs="Times New Roman"/>
          <w:b/>
          <w:color w:val="010000"/>
        </w:rPr>
        <w:t>I.</w:t>
      </w:r>
      <w:r w:rsidR="00E23176" w:rsidRPr="00E23176">
        <w:rPr>
          <w:rFonts w:cs="Times New Roman"/>
          <w:color w:val="010000"/>
        </w:rPr>
        <w:t xml:space="preserve"> </w:t>
      </w:r>
      <w:r w:rsidRPr="00E23176">
        <w:rPr>
          <w:rFonts w:cs="Times New Roman"/>
          <w:b/>
          <w:color w:val="010000"/>
        </w:rPr>
        <w:t>BAŞVURUNUN KONUSU</w:t>
      </w:r>
    </w:p>
    <w:p w:rsidR="007A2B5F" w:rsidRPr="00E23176" w:rsidRDefault="00CB14EB" w:rsidP="00E23176">
      <w:pPr>
        <w:pStyle w:val="edf1450279197849"/>
        <w:widowControl/>
        <w:suppressAutoHyphens w:val="0"/>
        <w:spacing w:after="200"/>
        <w:ind w:left="283" w:right="283" w:firstLine="567"/>
        <w:jc w:val="both"/>
        <w:rPr>
          <w:rFonts w:cs="Times New Roman"/>
          <w:color w:val="010000"/>
        </w:rPr>
      </w:pPr>
      <w:r w:rsidRPr="00E23176">
        <w:rPr>
          <w:rFonts w:cs="Times New Roman"/>
          <w:color w:val="010000"/>
        </w:rPr>
        <w:t>1.</w:t>
      </w:r>
      <w:r w:rsidR="00E23176" w:rsidRPr="00E23176">
        <w:rPr>
          <w:rFonts w:cs="Times New Roman"/>
          <w:color w:val="010000"/>
        </w:rPr>
        <w:t xml:space="preserve"> </w:t>
      </w:r>
      <w:r w:rsidRPr="00E23176">
        <w:rPr>
          <w:rFonts w:cs="Times New Roman"/>
          <w:color w:val="010000"/>
        </w:rPr>
        <w:t>Başvuru, işçi ile işveren ilişkisinden kaynaklanan işe iade ve tazminat davasında istinaf mahkemesinin kesinleşen lehe kararının maddi hata düzeltim yoluyla ortadan kaldırılarak uyuşmazlığın esasının yeniden ele alınması nedeniyle adil yargılanma hakkı ile mülkiyet hakkının ihlal edildiği iddialarına ilişkindir.</w:t>
      </w:r>
    </w:p>
    <w:p w:rsidR="007A2B5F" w:rsidRPr="00E23176" w:rsidRDefault="00CB14EB" w:rsidP="00E23176">
      <w:pPr>
        <w:pStyle w:val="edf1450279197849"/>
        <w:widowControl/>
        <w:suppressAutoHyphens w:val="0"/>
        <w:spacing w:after="200"/>
        <w:ind w:left="283" w:right="283" w:firstLine="567"/>
        <w:jc w:val="both"/>
        <w:rPr>
          <w:rFonts w:cs="Times New Roman"/>
          <w:color w:val="010000"/>
        </w:rPr>
      </w:pPr>
      <w:r w:rsidRPr="00E23176">
        <w:rPr>
          <w:rFonts w:cs="Times New Roman"/>
          <w:b/>
          <w:color w:val="010000"/>
        </w:rPr>
        <w:t>II.</w:t>
      </w:r>
      <w:r w:rsidR="00E23176" w:rsidRPr="00E23176">
        <w:rPr>
          <w:rFonts w:cs="Times New Roman"/>
          <w:color w:val="010000"/>
        </w:rPr>
        <w:t xml:space="preserve"> </w:t>
      </w:r>
      <w:r w:rsidRPr="00E23176">
        <w:rPr>
          <w:rFonts w:cs="Times New Roman"/>
          <w:b/>
          <w:color w:val="010000"/>
        </w:rPr>
        <w:t>BAŞVURU SÜRECİ</w:t>
      </w:r>
    </w:p>
    <w:p w:rsidR="007A2B5F" w:rsidRPr="00E23176" w:rsidRDefault="00CB14EB" w:rsidP="00E23176">
      <w:pPr>
        <w:pStyle w:val="edf1450279197849"/>
        <w:widowControl/>
        <w:suppressAutoHyphens w:val="0"/>
        <w:spacing w:after="200"/>
        <w:ind w:left="283" w:right="283" w:firstLine="567"/>
        <w:jc w:val="both"/>
        <w:rPr>
          <w:rFonts w:cs="Times New Roman"/>
          <w:color w:val="010000"/>
        </w:rPr>
      </w:pPr>
      <w:r w:rsidRPr="00E23176">
        <w:rPr>
          <w:rFonts w:cs="Times New Roman"/>
          <w:color w:val="010000"/>
        </w:rPr>
        <w:t>2.</w:t>
      </w:r>
      <w:r w:rsidR="00E23176" w:rsidRPr="00E23176">
        <w:rPr>
          <w:rFonts w:cs="Times New Roman"/>
          <w:color w:val="010000"/>
        </w:rPr>
        <w:t xml:space="preserve"> </w:t>
      </w:r>
      <w:r w:rsidRPr="00E23176">
        <w:rPr>
          <w:rFonts w:cs="Times New Roman"/>
          <w:color w:val="010000"/>
        </w:rPr>
        <w:t>Başvuru 23/7/2020 tarihinde yapılmıştır.</w:t>
      </w:r>
    </w:p>
    <w:p w:rsidR="007A2B5F" w:rsidRPr="00E23176" w:rsidRDefault="00CB14EB" w:rsidP="00E23176">
      <w:pPr>
        <w:pStyle w:val="edf1450279197849"/>
        <w:widowControl/>
        <w:suppressAutoHyphens w:val="0"/>
        <w:spacing w:after="200"/>
        <w:ind w:left="283" w:right="283" w:firstLine="567"/>
        <w:jc w:val="both"/>
        <w:rPr>
          <w:rFonts w:cs="Times New Roman"/>
          <w:color w:val="010000"/>
        </w:rPr>
      </w:pPr>
      <w:r w:rsidRPr="00E23176">
        <w:rPr>
          <w:rFonts w:cs="Times New Roman"/>
          <w:color w:val="010000"/>
        </w:rPr>
        <w:t>3.</w:t>
      </w:r>
      <w:r w:rsidR="00E23176" w:rsidRPr="00E23176">
        <w:rPr>
          <w:rFonts w:cs="Times New Roman"/>
          <w:color w:val="010000"/>
        </w:rPr>
        <w:t xml:space="preserve"> </w:t>
      </w:r>
      <w:r w:rsidRPr="00E23176">
        <w:rPr>
          <w:rFonts w:cs="Times New Roman"/>
          <w:color w:val="010000"/>
        </w:rPr>
        <w:t>Başvuru, başvuru formu ve eklerinin idari yönden yapılan ön incelemesinden sonra Komisyona sunulmuştur.</w:t>
      </w:r>
    </w:p>
    <w:p w:rsidR="007A2B5F" w:rsidRPr="00E23176" w:rsidRDefault="00CB14EB" w:rsidP="00E23176">
      <w:pPr>
        <w:pStyle w:val="edf1450279197849"/>
        <w:widowControl/>
        <w:suppressAutoHyphens w:val="0"/>
        <w:spacing w:after="200"/>
        <w:ind w:left="283" w:right="283" w:firstLine="567"/>
        <w:jc w:val="both"/>
        <w:rPr>
          <w:rFonts w:cs="Times New Roman"/>
          <w:color w:val="010000"/>
        </w:rPr>
      </w:pPr>
      <w:r w:rsidRPr="00E23176">
        <w:rPr>
          <w:rFonts w:cs="Times New Roman"/>
          <w:color w:val="010000"/>
        </w:rPr>
        <w:t>4.</w:t>
      </w:r>
      <w:r w:rsidR="00E23176" w:rsidRPr="00E23176">
        <w:rPr>
          <w:rFonts w:cs="Times New Roman"/>
          <w:color w:val="010000"/>
        </w:rPr>
        <w:t xml:space="preserve"> </w:t>
      </w:r>
      <w:r w:rsidRPr="00E23176">
        <w:rPr>
          <w:rFonts w:cs="Times New Roman"/>
          <w:color w:val="010000"/>
        </w:rPr>
        <w:t>Komisyonca başvurunun kabul edilebilirlik ve esas incelemesinin Bölüm tarafından yapılmasına</w:t>
      </w:r>
      <w:r w:rsidR="00E23176">
        <w:rPr>
          <w:rFonts w:cs="Times New Roman"/>
          <w:color w:val="010000"/>
        </w:rPr>
        <w:t xml:space="preserve"> </w:t>
      </w:r>
      <w:r w:rsidRPr="00E23176">
        <w:rPr>
          <w:rFonts w:cs="Times New Roman"/>
          <w:color w:val="010000"/>
        </w:rPr>
        <w:t>karar verilmiştir.</w:t>
      </w:r>
    </w:p>
    <w:p w:rsidR="007A2B5F" w:rsidRPr="00E23176" w:rsidRDefault="00CB14EB" w:rsidP="00E23176">
      <w:pPr>
        <w:pStyle w:val="edf1450279197849"/>
        <w:widowControl/>
        <w:suppressAutoHyphens w:val="0"/>
        <w:spacing w:after="200"/>
        <w:ind w:left="283" w:right="283" w:firstLine="567"/>
        <w:jc w:val="both"/>
        <w:rPr>
          <w:rFonts w:cs="Times New Roman"/>
          <w:color w:val="010000"/>
        </w:rPr>
      </w:pPr>
      <w:r w:rsidRPr="00E23176">
        <w:rPr>
          <w:rFonts w:cs="Times New Roman"/>
          <w:color w:val="010000"/>
        </w:rPr>
        <w:t>5.</w:t>
      </w:r>
      <w:r w:rsidR="00E23176" w:rsidRPr="00E23176">
        <w:rPr>
          <w:rFonts w:cs="Times New Roman"/>
          <w:color w:val="010000"/>
        </w:rPr>
        <w:t xml:space="preserve"> </w:t>
      </w:r>
      <w:r w:rsidRPr="00E23176">
        <w:rPr>
          <w:rFonts w:cs="Times New Roman"/>
          <w:color w:val="010000"/>
        </w:rPr>
        <w:t>Başvuru belgelerinin bir örneği bilgi için Adalet Bakanlığına gönderilmiştir.</w:t>
      </w:r>
    </w:p>
    <w:p w:rsidR="007A2B5F" w:rsidRPr="00E23176" w:rsidRDefault="00CB14EB" w:rsidP="00E23176">
      <w:pPr>
        <w:pStyle w:val="edf1450279197849"/>
        <w:widowControl/>
        <w:suppressAutoHyphens w:val="0"/>
        <w:spacing w:after="200"/>
        <w:ind w:left="283" w:right="283" w:firstLine="567"/>
        <w:jc w:val="both"/>
        <w:rPr>
          <w:rFonts w:cs="Times New Roman"/>
          <w:color w:val="010000"/>
        </w:rPr>
      </w:pPr>
      <w:r w:rsidRPr="00E23176">
        <w:rPr>
          <w:rFonts w:cs="Times New Roman"/>
          <w:b/>
          <w:color w:val="010000"/>
        </w:rPr>
        <w:t>III.</w:t>
      </w:r>
      <w:r w:rsidR="00E23176" w:rsidRPr="00E23176">
        <w:rPr>
          <w:rFonts w:cs="Times New Roman"/>
          <w:color w:val="010000"/>
        </w:rPr>
        <w:t xml:space="preserve"> </w:t>
      </w:r>
      <w:r w:rsidRPr="00E23176">
        <w:rPr>
          <w:rFonts w:cs="Times New Roman"/>
          <w:b/>
          <w:color w:val="010000"/>
        </w:rPr>
        <w:t>OLAY VE OLGULAR</w:t>
      </w:r>
    </w:p>
    <w:p w:rsidR="007A2B5F" w:rsidRPr="00E23176" w:rsidRDefault="00CB14EB" w:rsidP="00E23176">
      <w:pPr>
        <w:pStyle w:val="edf1450279197849"/>
        <w:widowControl/>
        <w:suppressAutoHyphens w:val="0"/>
        <w:spacing w:after="200"/>
        <w:ind w:left="283" w:right="283" w:firstLine="567"/>
        <w:jc w:val="both"/>
        <w:rPr>
          <w:rFonts w:cs="Times New Roman"/>
          <w:color w:val="010000"/>
        </w:rPr>
      </w:pPr>
      <w:r w:rsidRPr="00E23176">
        <w:rPr>
          <w:rFonts w:cs="Times New Roman"/>
          <w:color w:val="010000"/>
        </w:rPr>
        <w:t>6.</w:t>
      </w:r>
      <w:r w:rsidR="00E23176" w:rsidRPr="00E23176">
        <w:rPr>
          <w:rFonts w:cs="Times New Roman"/>
          <w:color w:val="010000"/>
        </w:rPr>
        <w:t xml:space="preserve"> </w:t>
      </w:r>
      <w:r w:rsidRPr="00E23176">
        <w:rPr>
          <w:rFonts w:cs="Times New Roman"/>
          <w:color w:val="010000"/>
        </w:rPr>
        <w:t>Başvuru formu ve eklerinde ifade edildiği şekliyle ilgili olaylar özetle şöyledir: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7.</w:t>
      </w:r>
      <w:r w:rsidR="00E23176" w:rsidRPr="00E23176">
        <w:rPr>
          <w:color w:val="010000"/>
        </w:rPr>
        <w:t xml:space="preserve"> </w:t>
      </w:r>
      <w:r w:rsidRPr="00E23176">
        <w:rPr>
          <w:color w:val="010000"/>
        </w:rPr>
        <w:t>Başvurucu; işe iadesi, çalıştırılmadığı süre için dört aya kadar ücreti, işe iade kararı verilmesinden sonra işe başlatılmaması hâlinde ise 8 aylık maaşı tutarında tazminat ödenmesi talebiyle Ankara 39. İş Mahkemesinde dava açmıştır.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8.</w:t>
      </w:r>
      <w:r w:rsidR="00E23176" w:rsidRPr="00E23176">
        <w:rPr>
          <w:color w:val="010000"/>
        </w:rPr>
        <w:t xml:space="preserve"> </w:t>
      </w:r>
      <w:r w:rsidRPr="00E23176">
        <w:rPr>
          <w:color w:val="010000"/>
        </w:rPr>
        <w:t xml:space="preserve">Ankara 39. İş Mahkemesi başvurucunun işe iadesine, yasal süre içinde işe başlatılmaması hâlinde ödenmesi gereken tazminat miktarının kıdemi dikkate alınarak dava tarihindeki aylık brüt ücreti olan 2.508,04 TL üzerinden dört aylık brüt ücret tutarı olarak belirlenmesine, bu ücret üzerinden en çok dört aya kadar ücretinin ve diğer haklarının davalıdan tahsili gerektiğinin tespitine karar vermiştir. Başvurucu, tazminatın 3.442 Amerikan doları üzerinden hesaplanması gerektiğini, davalı ise feshin geçerli </w:t>
      </w:r>
      <w:r w:rsidRPr="00E23176">
        <w:rPr>
          <w:color w:val="010000"/>
        </w:rPr>
        <w:lastRenderedPageBreak/>
        <w:t>nedene dayandığından davanın reddi gerektiğini ve mahkeme kararının gerekçeli olmadığını belirterek istinaf başvurusunda bulunmuştur.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9.</w:t>
      </w:r>
      <w:r w:rsidR="00E23176" w:rsidRPr="00E23176">
        <w:rPr>
          <w:color w:val="010000"/>
        </w:rPr>
        <w:t xml:space="preserve"> </w:t>
      </w:r>
      <w:r w:rsidRPr="00E23176">
        <w:rPr>
          <w:color w:val="010000"/>
        </w:rPr>
        <w:t>Bölge Adliye (İstinaf) Mahkemesi, sadece davalı işverenin istinaf dilekçesini incelemiş; davalının istinaf talebini reddetmiş, yargılama gideri olan arabuluculuk ücreti ile ilgili olarak ilk derece mahkemesince hüküm kurulmadığını belirterek ilk derece mahkemesi kararına arabuluculuk ücretini resen eklemek suretiyle 21/11/2019 tarihli hükmü kurmuştur.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10.</w:t>
      </w:r>
      <w:r w:rsidR="00E23176" w:rsidRPr="00E23176">
        <w:rPr>
          <w:color w:val="010000"/>
        </w:rPr>
        <w:t xml:space="preserve"> </w:t>
      </w:r>
      <w:r w:rsidRPr="00E23176">
        <w:rPr>
          <w:color w:val="010000"/>
        </w:rPr>
        <w:t xml:space="preserve">Başvurucu, süresinde verdiği istinaf dilekçesinin değerlendirilmediğini belirterek maddi hatanın düzeltilmesini talep etmiş; istinaf mahkemesi 12/12/2019 tarihli ek kararı ile </w:t>
      </w:r>
      <w:proofErr w:type="spellStart"/>
      <w:r w:rsidRPr="00E23176">
        <w:rPr>
          <w:color w:val="010000"/>
        </w:rPr>
        <w:t>sevhen</w:t>
      </w:r>
      <w:proofErr w:type="spellEnd"/>
      <w:r w:rsidRPr="00E23176">
        <w:rPr>
          <w:color w:val="010000"/>
        </w:rPr>
        <w:t xml:space="preserve"> başvurucunun istinaf dilekçesinin değerlendirilmediğini belirterek 21/11/2019 tarihli kararını kaldırmıştır. Aynı kararda başvurucunun işe iadesinin yanında başvurucuya ödenecek olan tazminat miktarını dava tarihindeki aylık brüt ücret olan 2.961,05 Amerikan doları üzerinden dört aylık brüt ücret tutarının 11.844,20 Amerikan doları olarak belirlenmesine, bu ücret üzerinden en çok dört aya kadar ücret ile diğer haklarının davalıdan tahsil edilmesi gerektiğinin tespitine kesin olarak karar vermiştir.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11.</w:t>
      </w:r>
      <w:r w:rsidR="00E23176" w:rsidRPr="00E23176">
        <w:rPr>
          <w:color w:val="010000"/>
        </w:rPr>
        <w:t xml:space="preserve"> </w:t>
      </w:r>
      <w:r w:rsidRPr="00E23176">
        <w:rPr>
          <w:color w:val="010000"/>
        </w:rPr>
        <w:t>Anılan karar sonrası davalı işveren başvurucuya 10/1/2020 tarihinde işe başlatmama ve boşta geçen süre tazminatı olarak 23.483,02 Amerikan doları ödemiştir.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12.</w:t>
      </w:r>
      <w:r w:rsidR="00E23176" w:rsidRPr="00E23176">
        <w:rPr>
          <w:color w:val="010000"/>
        </w:rPr>
        <w:t xml:space="preserve"> </w:t>
      </w:r>
      <w:r w:rsidRPr="00E23176">
        <w:rPr>
          <w:color w:val="010000"/>
        </w:rPr>
        <w:t>Bu defa davalı taraf, istinaf mahkemesinin daha önce İş Mahkemesince verilen ve istinaf incelemesinden geçen 2.508,04 TL miktarındaki tazminata ilişkin kararın kaldırılmasının doğru olmadığını, başvurucunun eylemli fesih tarihi olan 18/1/2018 tarihinden itibaren bir ay içinde arabulucuya başvurması gerekirken 9/4/2018 tarihinde arabulucuya başvurduğundan davanın süre aşımı nedeniyle reddi gerektiğini belirterek maddi hata düzeltme dilekçesi vermiştir.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13.</w:t>
      </w:r>
      <w:r w:rsidR="00E23176" w:rsidRPr="00E23176">
        <w:rPr>
          <w:color w:val="010000"/>
        </w:rPr>
        <w:t xml:space="preserve"> </w:t>
      </w:r>
      <w:r w:rsidRPr="00E23176">
        <w:rPr>
          <w:color w:val="010000"/>
        </w:rPr>
        <w:t>İstinaf mahkemesi 3/7/2020 tarihli ek kararı ile davalı işveren tarafından iş sözleşmesinin 15/3/2018 tarihi itibarıyla feshedileceğinin 18/1/2018 tarihinde başvurucuya bildirildiğini, arabulucuya bir aylık başvuru süresi geçtikten sonra (9/4/2018 tarihinde) başvurulduğundan davanın hak düşürücü süre yönünden reddine karar verilmesi gerekirken hatalı değerlendirme ile karar verildiğini belirterek önceki kararları kaldırmış; davanın hak düşürücü süre nedeniyle reddine kesin olarak karar vermiştir.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14.</w:t>
      </w:r>
      <w:r w:rsidR="00E23176" w:rsidRPr="00E23176">
        <w:rPr>
          <w:color w:val="010000"/>
        </w:rPr>
        <w:t xml:space="preserve"> </w:t>
      </w:r>
      <w:r w:rsidRPr="00E23176">
        <w:rPr>
          <w:color w:val="010000"/>
        </w:rPr>
        <w:t>Bu karar üzerine başvurucu, maddi hata düzeltme dilekçesi vermiş; istinaf mahkemesi başvurucunun verdiği maddi hata düzeltme dilekçesinin reddine karar vermiştir.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15.</w:t>
      </w:r>
      <w:r w:rsidR="00E23176" w:rsidRPr="00E23176">
        <w:rPr>
          <w:color w:val="010000"/>
        </w:rPr>
        <w:t xml:space="preserve"> </w:t>
      </w:r>
      <w:r w:rsidRPr="00E23176">
        <w:rPr>
          <w:color w:val="010000"/>
        </w:rPr>
        <w:t>Başvurucu, süresinde bireysel başvuruda bulunmuştur.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IV.</w:t>
      </w:r>
      <w:r w:rsidR="00E23176" w:rsidRPr="00E23176">
        <w:rPr>
          <w:color w:val="010000"/>
        </w:rPr>
        <w:t xml:space="preserve"> </w:t>
      </w:r>
      <w:r w:rsidRPr="00E23176">
        <w:rPr>
          <w:b/>
          <w:color w:val="010000"/>
        </w:rPr>
        <w:t>İLGİLİ HUKUK</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A.</w:t>
      </w:r>
      <w:r w:rsidR="00E23176" w:rsidRPr="00E23176">
        <w:rPr>
          <w:color w:val="010000"/>
        </w:rPr>
        <w:t xml:space="preserve"> </w:t>
      </w:r>
      <w:r w:rsidRPr="00E23176">
        <w:rPr>
          <w:b/>
          <w:color w:val="010000"/>
        </w:rPr>
        <w:t>Ulusal Hukuk</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1.</w:t>
      </w:r>
      <w:r w:rsidR="00E23176" w:rsidRPr="00E23176">
        <w:rPr>
          <w:color w:val="010000"/>
        </w:rPr>
        <w:t xml:space="preserve"> </w:t>
      </w:r>
      <w:r w:rsidRPr="00E23176">
        <w:rPr>
          <w:b/>
          <w:color w:val="010000"/>
        </w:rPr>
        <w:t>İlgili Mevzuat</w:t>
      </w:r>
    </w:p>
    <w:p w:rsidR="007A2B5F" w:rsidRPr="00E23176" w:rsidRDefault="00CB14EB" w:rsidP="00E23176">
      <w:pPr>
        <w:widowControl/>
        <w:suppressAutoHyphens w:val="0"/>
        <w:spacing w:after="200"/>
        <w:ind w:left="283" w:right="283" w:firstLine="567"/>
        <w:jc w:val="both"/>
        <w:rPr>
          <w:color w:val="010000"/>
          <w:sz w:val="22"/>
        </w:rPr>
      </w:pPr>
      <w:r w:rsidRPr="00E23176">
        <w:rPr>
          <w:color w:val="010000"/>
        </w:rPr>
        <w:t>16.</w:t>
      </w:r>
      <w:r w:rsidR="00E23176" w:rsidRPr="00E23176">
        <w:rPr>
          <w:color w:val="010000"/>
        </w:rPr>
        <w:t xml:space="preserve"> </w:t>
      </w:r>
      <w:r w:rsidRPr="00E23176">
        <w:rPr>
          <w:color w:val="010000"/>
        </w:rPr>
        <w:t>12/1/2011 tarihli ve 6100 sayılı Hukuk Muhakemeleri Kanunu'nun</w:t>
      </w:r>
      <w:r w:rsidRPr="00E23176">
        <w:rPr>
          <w:i/>
          <w:iCs/>
          <w:color w:val="010000"/>
        </w:rPr>
        <w:t xml:space="preserve"> "Kesin hüküm</w:t>
      </w:r>
      <w:r w:rsidRPr="00E23176">
        <w:rPr>
          <w:color w:val="010000"/>
        </w:rPr>
        <w:t>" kenar başlıklı 303. maddesi şöyledir:</w:t>
      </w:r>
    </w:p>
    <w:p w:rsidR="007A2B5F" w:rsidRPr="00E23176" w:rsidRDefault="00CB14EB" w:rsidP="00E23176">
      <w:pPr>
        <w:widowControl/>
        <w:suppressAutoHyphens w:val="0"/>
        <w:spacing w:after="200"/>
        <w:ind w:left="283" w:right="283" w:firstLine="567"/>
        <w:jc w:val="both"/>
        <w:rPr>
          <w:color w:val="010000"/>
        </w:rPr>
      </w:pPr>
      <w:r w:rsidRPr="00E23176">
        <w:rPr>
          <w:color w:val="010000"/>
          <w:sz w:val="22"/>
        </w:rPr>
        <w:t>(</w:t>
      </w:r>
      <w:r w:rsidRPr="00E23176">
        <w:rPr>
          <w:i/>
          <w:iCs/>
          <w:color w:val="010000"/>
          <w:sz w:val="22"/>
        </w:rPr>
        <w:t>1) Bir davaya ait şeklî anlamda kesinleşmiş olan hükmün, diğer bir davada maddi anlamda kesin hüküm oluşturabilmesi için, her iki davanın taraflarının, dava sebeplerinin ve ilk davanın hüküm fıkrası ile ikinci davaya ait talep sonucunun aynı olması gerekir.</w:t>
      </w:r>
    </w:p>
    <w:p w:rsidR="007A2B5F" w:rsidRPr="00E23176" w:rsidRDefault="00E23176" w:rsidP="00E23176">
      <w:pPr>
        <w:widowControl/>
        <w:suppressAutoHyphens w:val="0"/>
        <w:spacing w:after="200"/>
        <w:ind w:left="283" w:right="283" w:firstLine="567"/>
        <w:jc w:val="both"/>
        <w:rPr>
          <w:color w:val="010000"/>
        </w:rPr>
      </w:pPr>
      <w:r w:rsidRPr="00E23176">
        <w:rPr>
          <w:i/>
          <w:iCs/>
          <w:color w:val="010000"/>
          <w:sz w:val="22"/>
        </w:rPr>
        <w:t xml:space="preserve"> </w:t>
      </w:r>
      <w:r w:rsidR="00CB14EB" w:rsidRPr="00E23176">
        <w:rPr>
          <w:i/>
          <w:iCs/>
          <w:color w:val="010000"/>
          <w:sz w:val="22"/>
        </w:rPr>
        <w:t>(2) Bir hüküm, davada veya karşılık davada ileri sürülen taleplerden, sadece hükme bağlanmış olanlar hakkında kesin hüküm teşkil eder.</w:t>
      </w:r>
    </w:p>
    <w:p w:rsidR="007A2B5F" w:rsidRPr="00E23176" w:rsidRDefault="00E23176" w:rsidP="00E23176">
      <w:pPr>
        <w:widowControl/>
        <w:suppressAutoHyphens w:val="0"/>
        <w:spacing w:after="200"/>
        <w:ind w:left="283" w:right="283" w:firstLine="567"/>
        <w:jc w:val="both"/>
        <w:rPr>
          <w:color w:val="010000"/>
        </w:rPr>
      </w:pPr>
      <w:r w:rsidRPr="00E23176">
        <w:rPr>
          <w:i/>
          <w:iCs/>
          <w:color w:val="010000"/>
          <w:sz w:val="22"/>
        </w:rPr>
        <w:lastRenderedPageBreak/>
        <w:t xml:space="preserve"> </w:t>
      </w:r>
      <w:r w:rsidR="00CB14EB" w:rsidRPr="00E23176">
        <w:rPr>
          <w:i/>
          <w:iCs/>
          <w:color w:val="010000"/>
          <w:sz w:val="22"/>
        </w:rPr>
        <w:t>(3) Kesin hüküm, tarafların küllî halefleri hakkında da geçerlidir.</w:t>
      </w:r>
    </w:p>
    <w:p w:rsidR="007A2B5F" w:rsidRPr="00E23176" w:rsidRDefault="00E23176" w:rsidP="00E23176">
      <w:pPr>
        <w:widowControl/>
        <w:suppressAutoHyphens w:val="0"/>
        <w:spacing w:after="200"/>
        <w:ind w:left="283" w:right="283" w:firstLine="567"/>
        <w:jc w:val="both"/>
        <w:rPr>
          <w:color w:val="010000"/>
        </w:rPr>
      </w:pPr>
      <w:r w:rsidRPr="00E23176">
        <w:rPr>
          <w:i/>
          <w:iCs/>
          <w:color w:val="010000"/>
          <w:sz w:val="22"/>
        </w:rPr>
        <w:t xml:space="preserve"> </w:t>
      </w:r>
      <w:r w:rsidR="00CB14EB" w:rsidRPr="00E23176">
        <w:rPr>
          <w:i/>
          <w:iCs/>
          <w:color w:val="010000"/>
          <w:sz w:val="22"/>
        </w:rPr>
        <w:t xml:space="preserve">(4) Bir dava dolayısıyla ortaya çıkan kesin hüküm, o hükmün kesinleşmesinden sonra dava konusu şeyin mülkiyetini tarafların birisinden devralan yahut dava konusu şey üzerinde sınırlı bir ayni hak veya </w:t>
      </w:r>
      <w:proofErr w:type="spellStart"/>
      <w:r w:rsidR="00CB14EB" w:rsidRPr="00E23176">
        <w:rPr>
          <w:i/>
          <w:iCs/>
          <w:color w:val="010000"/>
          <w:sz w:val="22"/>
        </w:rPr>
        <w:t>fer’î</w:t>
      </w:r>
      <w:proofErr w:type="spellEnd"/>
      <w:r w:rsidR="00CB14EB" w:rsidRPr="00E23176">
        <w:rPr>
          <w:i/>
          <w:iCs/>
          <w:color w:val="010000"/>
          <w:sz w:val="22"/>
        </w:rPr>
        <w:t xml:space="preserve"> zilyetlik kazanan kişiler hakkında da geçerlidir. Ancak, Türk Medenî Kanununun </w:t>
      </w:r>
      <w:proofErr w:type="spellStart"/>
      <w:r w:rsidR="00CB14EB" w:rsidRPr="00E23176">
        <w:rPr>
          <w:i/>
          <w:iCs/>
          <w:color w:val="010000"/>
          <w:sz w:val="22"/>
        </w:rPr>
        <w:t>iyiniyetle</w:t>
      </w:r>
      <w:proofErr w:type="spellEnd"/>
      <w:r w:rsidR="00CB14EB" w:rsidRPr="00E23176">
        <w:rPr>
          <w:i/>
          <w:iCs/>
          <w:color w:val="010000"/>
          <w:sz w:val="22"/>
        </w:rPr>
        <w:t xml:space="preserve"> mal edinmeye ait hükümleri saklıdır.</w:t>
      </w:r>
    </w:p>
    <w:p w:rsidR="007A2B5F" w:rsidRPr="00E23176" w:rsidRDefault="00E23176" w:rsidP="00E23176">
      <w:pPr>
        <w:widowControl/>
        <w:suppressAutoHyphens w:val="0"/>
        <w:spacing w:after="200"/>
        <w:ind w:left="283" w:right="283" w:firstLine="567"/>
        <w:jc w:val="both"/>
        <w:rPr>
          <w:color w:val="010000"/>
        </w:rPr>
      </w:pPr>
      <w:r w:rsidRPr="00E23176">
        <w:rPr>
          <w:i/>
          <w:iCs/>
          <w:color w:val="010000"/>
          <w:sz w:val="22"/>
        </w:rPr>
        <w:t xml:space="preserve"> </w:t>
      </w:r>
      <w:r w:rsidR="00CB14EB" w:rsidRPr="00E23176">
        <w:rPr>
          <w:i/>
          <w:iCs/>
          <w:color w:val="010000"/>
          <w:sz w:val="22"/>
        </w:rPr>
        <w:t>(5) Müteselsil borçlulardan biri veya birkaçı ile alacaklı arasında yahut müteselsil alacaklılardan biri veya birkaçı ile borçlu arasında oluşan kesin hüküm, diğerleri hakkında geçerli değildir."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17.</w:t>
      </w:r>
      <w:r w:rsidR="00E23176" w:rsidRPr="00E23176">
        <w:rPr>
          <w:color w:val="010000"/>
        </w:rPr>
        <w:t xml:space="preserve"> </w:t>
      </w:r>
      <w:r w:rsidRPr="00E23176">
        <w:rPr>
          <w:color w:val="010000"/>
        </w:rPr>
        <w:t xml:space="preserve">6100 sayılı Kanun’un </w:t>
      </w:r>
      <w:r w:rsidRPr="00E23176">
        <w:rPr>
          <w:i/>
          <w:iCs/>
          <w:color w:val="010000"/>
        </w:rPr>
        <w:t>"Hükmün tashihi</w:t>
      </w:r>
      <w:r w:rsidRPr="00E23176">
        <w:rPr>
          <w:color w:val="010000"/>
        </w:rPr>
        <w:t>" kenar başlıklı 304. maddesinin (1) numaralı fıkrası şöyledir:</w:t>
      </w:r>
    </w:p>
    <w:p w:rsidR="007A2B5F" w:rsidRPr="00E23176" w:rsidRDefault="00E23176" w:rsidP="00E23176">
      <w:pPr>
        <w:widowControl/>
        <w:suppressAutoHyphens w:val="0"/>
        <w:spacing w:after="200"/>
        <w:ind w:left="283" w:right="283" w:firstLine="567"/>
        <w:jc w:val="both"/>
        <w:rPr>
          <w:color w:val="010000"/>
        </w:rPr>
      </w:pPr>
      <w:r w:rsidRPr="00E23176">
        <w:rPr>
          <w:i/>
          <w:iCs/>
          <w:color w:val="010000"/>
          <w:sz w:val="22"/>
        </w:rPr>
        <w:t xml:space="preserve"> </w:t>
      </w:r>
      <w:r w:rsidR="00CB14EB" w:rsidRPr="00E23176">
        <w:rPr>
          <w:i/>
          <w:iCs/>
          <w:color w:val="010000"/>
          <w:sz w:val="22"/>
        </w:rPr>
        <w:t>“Hükümdeki yazı ve hesap hataları ile diğer benzeri açık hatalar, mahkemece resen veya taraflardan birinin talebi üzerine düzeltilebilir. Hüküm tebliğ edilmişse hâkim, tarafları dinlemeden hatayı düzeltemez. Davet üzerine taraflar gelmezse, dosya üzerinde inceleme yapılarak karar verilebilir.”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18.</w:t>
      </w:r>
      <w:r w:rsidR="00E23176" w:rsidRPr="00E23176">
        <w:rPr>
          <w:color w:val="010000"/>
        </w:rPr>
        <w:t xml:space="preserve"> </w:t>
      </w:r>
      <w:r w:rsidRPr="00E23176">
        <w:rPr>
          <w:color w:val="010000"/>
        </w:rPr>
        <w:t>6100 sayılı Kanun'un</w:t>
      </w:r>
      <w:r w:rsidRPr="00E23176">
        <w:rPr>
          <w:i/>
          <w:iCs/>
          <w:color w:val="010000"/>
        </w:rPr>
        <w:t xml:space="preserve"> ''Hükmün tavzihi'' </w:t>
      </w:r>
      <w:r w:rsidRPr="00E23176">
        <w:rPr>
          <w:color w:val="010000"/>
        </w:rPr>
        <w:t xml:space="preserve">kenar başlıklı 305. maddesi şöyledir: </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"(1) Hüküm yeterince açık değilse veya icrasında tereddüt uyandırıyor yahut birbirine aykırı fıkralar içeriyorsa, icrası tamamlanıncaya kadar taraflardan her biri hükmün açıklanmasını veya tereddüt ya da aykırılığın giderilmesini isteyebilir.</w:t>
      </w:r>
    </w:p>
    <w:p w:rsidR="007A2B5F" w:rsidRPr="00E23176" w:rsidRDefault="00E23176" w:rsidP="00E23176">
      <w:pPr>
        <w:widowControl/>
        <w:suppressAutoHyphens w:val="0"/>
        <w:spacing w:after="200"/>
        <w:ind w:left="283" w:right="283" w:firstLine="567"/>
        <w:jc w:val="both"/>
        <w:rPr>
          <w:color w:val="010000"/>
        </w:rPr>
      </w:pPr>
      <w:r w:rsidRPr="00E23176">
        <w:rPr>
          <w:i/>
          <w:iCs/>
          <w:color w:val="010000"/>
          <w:sz w:val="22"/>
        </w:rPr>
        <w:t xml:space="preserve"> </w:t>
      </w:r>
      <w:r w:rsidR="00CB14EB" w:rsidRPr="00E23176">
        <w:rPr>
          <w:i/>
          <w:iCs/>
          <w:color w:val="010000"/>
          <w:sz w:val="22"/>
        </w:rPr>
        <w:t>(2) Hüküm fıkrasında taraflara tanınan haklar ve yüklenen borçlar, tavzih yolu ile sınırlandırılamaz, genişletilemez ve değiştirilemez."</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19.</w:t>
      </w:r>
      <w:r w:rsidR="00E23176" w:rsidRPr="00E23176">
        <w:rPr>
          <w:color w:val="010000"/>
        </w:rPr>
        <w:t xml:space="preserve"> </w:t>
      </w:r>
      <w:r w:rsidRPr="00E23176">
        <w:rPr>
          <w:color w:val="010000"/>
        </w:rPr>
        <w:t xml:space="preserve">6100 sayılı Kanun'un </w:t>
      </w:r>
      <w:r w:rsidRPr="00E23176">
        <w:rPr>
          <w:i/>
          <w:iCs/>
          <w:color w:val="010000"/>
        </w:rPr>
        <w:t>"Hükmün tamamlanması"</w:t>
      </w:r>
      <w:r w:rsidRPr="00E23176">
        <w:rPr>
          <w:color w:val="010000"/>
        </w:rPr>
        <w:t xml:space="preserve"> kenar başlıklı 305/A maddesi şöyledir:</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"(1) Taraflardan her biri, nihaî kararın tebliğinden itibaren bir ay içinde, yargılamada ileri sürülmesine veya kendiliğinden hükme geçirilmesi gerekli olmasına rağmen hakkında tamamen veya kısmen karar verilmeyen hususlarda, ek karar verilmesini isteyebilir. Bu karara karşı kanun yoluna başvurulabilir."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20.</w:t>
      </w:r>
      <w:r w:rsidR="00E23176" w:rsidRPr="00E23176">
        <w:rPr>
          <w:color w:val="010000"/>
        </w:rPr>
        <w:t xml:space="preserve"> </w:t>
      </w:r>
      <w:r w:rsidRPr="00E23176">
        <w:rPr>
          <w:color w:val="010000"/>
        </w:rPr>
        <w:t>6100 sayılı Kanun'un</w:t>
      </w:r>
      <w:r w:rsidRPr="00E23176">
        <w:rPr>
          <w:i/>
          <w:iCs/>
          <w:color w:val="010000"/>
        </w:rPr>
        <w:t xml:space="preserve"> "Tavzih ve tamamlama talebi ile usulü"</w:t>
      </w:r>
      <w:r w:rsidRPr="00E23176">
        <w:rPr>
          <w:color w:val="010000"/>
        </w:rPr>
        <w:t xml:space="preserve"> kenar başlıklı 306. maddesi şöyledir:</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"(1) Tavzih veya tamamlama, dilekçeye tarafların sayısı kadar nüsha eklenmek suretiyle hükmü veren mahkemeden istenebilir. Dilekçenin bir nüshası, cevap süresi mahkemece belirlenerek karşı tarafa tebliğ edilir. Cevap, tavzih veya tamamlama talebinde bulunan tarafa tebliğ olunur.</w:t>
      </w:r>
    </w:p>
    <w:p w:rsidR="007A2B5F" w:rsidRPr="00E23176" w:rsidRDefault="00E23176" w:rsidP="00E23176">
      <w:pPr>
        <w:widowControl/>
        <w:suppressAutoHyphens w:val="0"/>
        <w:spacing w:after="200"/>
        <w:ind w:left="283" w:right="283" w:firstLine="567"/>
        <w:jc w:val="both"/>
        <w:rPr>
          <w:color w:val="010000"/>
        </w:rPr>
      </w:pPr>
      <w:r w:rsidRPr="00E23176">
        <w:rPr>
          <w:i/>
          <w:iCs/>
          <w:color w:val="010000"/>
          <w:sz w:val="22"/>
        </w:rPr>
        <w:t xml:space="preserve"> </w:t>
      </w:r>
      <w:r w:rsidR="00CB14EB" w:rsidRPr="00E23176">
        <w:rPr>
          <w:i/>
          <w:iCs/>
          <w:color w:val="010000"/>
          <w:sz w:val="22"/>
        </w:rPr>
        <w:t>(2) Mahkeme, cevap verilmemiş olsa bile dosya üzerinde inceleme yaparak karar verir; ancak gerekli görürse iki tarafı sözlü açıklamalarını yapabilmeleri için davet edebilir.</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(3) Mahkeme tavzih veya tamamlama talebini yerinde gördüğü takdirde 304 üncü madde uyarınca işlem yapar."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21.</w:t>
      </w:r>
      <w:r w:rsidR="00E23176" w:rsidRPr="00E23176">
        <w:rPr>
          <w:color w:val="010000"/>
        </w:rPr>
        <w:t xml:space="preserve"> </w:t>
      </w:r>
      <w:r w:rsidRPr="00E23176">
        <w:rPr>
          <w:color w:val="010000"/>
        </w:rPr>
        <w:t>12/10/2017 tarihli ve 7036 sayılı İş Mahkemeleri Kanunu'nun</w:t>
      </w:r>
      <w:r w:rsidRPr="00E23176">
        <w:rPr>
          <w:i/>
          <w:iCs/>
          <w:color w:val="010000"/>
        </w:rPr>
        <w:t xml:space="preserve"> "Temiz edilemeyen kararlar"</w:t>
      </w:r>
      <w:r w:rsidRPr="00E23176">
        <w:rPr>
          <w:color w:val="010000"/>
        </w:rPr>
        <w:t xml:space="preserve"> kenar başlıklı 8. maddesinin (1) numaralı fıkrasının (a) bendi şöyledir:</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"Diğer kanunlardaki hükümler saklı kalmak kaydıyla, aşağıda belirtilen dava ve işlerde verilen kararlar hakkında temyiz yoluna başvurulamaz:</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 xml:space="preserve">4857 sayılı Kanunun 20 </w:t>
      </w:r>
      <w:proofErr w:type="spellStart"/>
      <w:r w:rsidRPr="00E23176">
        <w:rPr>
          <w:i/>
          <w:iCs/>
          <w:color w:val="010000"/>
          <w:sz w:val="22"/>
        </w:rPr>
        <w:t>nci</w:t>
      </w:r>
      <w:proofErr w:type="spellEnd"/>
      <w:r w:rsidRPr="00E23176">
        <w:rPr>
          <w:i/>
          <w:iCs/>
          <w:color w:val="010000"/>
          <w:sz w:val="22"/>
        </w:rPr>
        <w:t xml:space="preserve"> maddesi uyarınca açılan fesih bildirimine itiraz davalarında verilen kararlar"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lastRenderedPageBreak/>
        <w:t>22.</w:t>
      </w:r>
      <w:r w:rsidR="00E23176" w:rsidRPr="00E23176">
        <w:rPr>
          <w:color w:val="010000"/>
        </w:rPr>
        <w:t xml:space="preserve"> </w:t>
      </w:r>
      <w:r w:rsidRPr="00E23176">
        <w:rPr>
          <w:color w:val="010000"/>
        </w:rPr>
        <w:t>22/5/2003 tarihli ve 4857 sayılı İş Kanunu'nun</w:t>
      </w:r>
      <w:r w:rsidRPr="00E23176">
        <w:rPr>
          <w:i/>
          <w:iCs/>
          <w:color w:val="010000"/>
        </w:rPr>
        <w:t xml:space="preserve"> "Fesih bildirimine itiraz ve usulü"</w:t>
      </w:r>
      <w:r w:rsidRPr="00E23176">
        <w:rPr>
          <w:color w:val="010000"/>
        </w:rPr>
        <w:t xml:space="preserve"> kenar başlıklı 20. maddesi şöyledir:</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"İş sözleşmesi feshedilen işçi, fesih bildiriminde sebep gösterilmediği veya gösterilen sebebin geçerli bir sebep olmadığı iddiası ile fesih bildiriminin tebliği tarihinden itibaren bir ay içinde işe iade talebiyle, İş Mahkemeleri Kanunu hükümleri uyarınca arabulucuya başvurmak zorundadır. Arabuluculuk faaliyeti sonunda anlaşmaya varılamaması hâlinde, son tutanağın düzenlendiği tarihten itibaren, iki hafta içinde iş mahkemesinde dava açılabilir. Taraflar anlaşırlarsa uyuşmazlık aynı sürede iş mahkemesi yerine özel hakeme de götürülebilir. Arabulucuya başvurmaksızın doğrudan dava açılması sebebiyle davanın usulden reddi hâlinde ret kararı taraflara resen tebliğ edilir. Kesinleşen ret kararının da resen tebliğinden itibaren iki hafta içinde arabulucuya başvurulabilir.</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Feshin geçerli bir sebebe dayandığını ispat yükümlülüğü işverene aittir. İşçi, feshin başka bir sebebe dayandığını iddia ettiği takdirde, bu iddiasını ispatla yükümlüdür.</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Dava ivedilikle sonuçlandırılır. Mahkemece verilen karar hakkında istinaf yoluna başvurulması hâlinde, bölge adliye mahkemesi ivedilikle ve kesin olarak karar verir."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23.</w:t>
      </w:r>
      <w:r w:rsidR="00E23176" w:rsidRPr="00E23176">
        <w:rPr>
          <w:color w:val="010000"/>
        </w:rPr>
        <w:t xml:space="preserve"> </w:t>
      </w:r>
      <w:r w:rsidRPr="00E23176">
        <w:rPr>
          <w:color w:val="010000"/>
        </w:rPr>
        <w:t>7036 sayılı Kanun’un 7. maddesinin (3) numaralı fıkrası şöyledir:</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''12/1/2011 tarihli ve 6100 sayılı Hukuk Muhakemeleri Kanununun kanun yollarına ilişkin hükümleri, iş mahkemelerince verilen kararlar hakkında da uygulanır.''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2.</w:t>
      </w:r>
      <w:r w:rsidR="00E23176" w:rsidRPr="00E23176">
        <w:rPr>
          <w:color w:val="010000"/>
        </w:rPr>
        <w:t xml:space="preserve"> </w:t>
      </w:r>
      <w:r w:rsidRPr="00E23176">
        <w:rPr>
          <w:b/>
          <w:color w:val="010000"/>
        </w:rPr>
        <w:t>Yargıtay Kararları</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24.</w:t>
      </w:r>
      <w:r w:rsidR="00E23176" w:rsidRPr="00E23176">
        <w:rPr>
          <w:color w:val="010000"/>
        </w:rPr>
        <w:t xml:space="preserve"> </w:t>
      </w:r>
      <w:r w:rsidRPr="00E23176">
        <w:rPr>
          <w:color w:val="010000"/>
        </w:rPr>
        <w:t>Yargıtay kararları için bkz.</w:t>
      </w:r>
      <w:r w:rsidRPr="00E23176">
        <w:rPr>
          <w:i/>
          <w:iCs/>
          <w:color w:val="010000"/>
        </w:rPr>
        <w:t xml:space="preserve"> Mustafa Altın</w:t>
      </w:r>
      <w:r w:rsidRPr="00E23176">
        <w:rPr>
          <w:color w:val="010000"/>
        </w:rPr>
        <w:t xml:space="preserve"> [GK], B. No: 2018/10018, 27/10/2021, §§ 32-35.</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B.</w:t>
      </w:r>
      <w:r w:rsidR="00E23176" w:rsidRPr="00E23176">
        <w:rPr>
          <w:color w:val="010000"/>
        </w:rPr>
        <w:t xml:space="preserve"> </w:t>
      </w:r>
      <w:r w:rsidRPr="00E23176">
        <w:rPr>
          <w:b/>
          <w:color w:val="010000"/>
        </w:rPr>
        <w:t>Uluslararası Hukuk</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25.</w:t>
      </w:r>
      <w:r w:rsidR="00E23176" w:rsidRPr="00E23176">
        <w:rPr>
          <w:color w:val="010000"/>
        </w:rPr>
        <w:t xml:space="preserve"> </w:t>
      </w:r>
      <w:r w:rsidRPr="00E23176">
        <w:rPr>
          <w:color w:val="010000"/>
        </w:rPr>
        <w:t>Uluslararası hukuk için bkz.</w:t>
      </w:r>
      <w:r w:rsidRPr="00E23176">
        <w:rPr>
          <w:i/>
          <w:iCs/>
          <w:color w:val="010000"/>
        </w:rPr>
        <w:t xml:space="preserve"> Mustafa Altın</w:t>
      </w:r>
      <w:r w:rsidRPr="00E23176">
        <w:rPr>
          <w:color w:val="010000"/>
        </w:rPr>
        <w:t>, §§ 36-47.</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V.</w:t>
      </w:r>
      <w:r w:rsidR="00E23176" w:rsidRPr="00E23176">
        <w:rPr>
          <w:color w:val="010000"/>
        </w:rPr>
        <w:t xml:space="preserve"> </w:t>
      </w:r>
      <w:r w:rsidRPr="00E23176">
        <w:rPr>
          <w:b/>
          <w:color w:val="010000"/>
        </w:rPr>
        <w:t>İNCELEME VE GEREKÇE</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26.</w:t>
      </w:r>
      <w:r w:rsidR="00E23176" w:rsidRPr="00E23176">
        <w:rPr>
          <w:color w:val="010000"/>
        </w:rPr>
        <w:t xml:space="preserve"> </w:t>
      </w:r>
      <w:r w:rsidRPr="00E23176">
        <w:rPr>
          <w:color w:val="010000"/>
        </w:rPr>
        <w:t>Anayasa Mahkemesinin 19/10/2023 tarihinde yapmış olduğu toplantıda başvuru incelenip gereği düşünüldü:</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A.</w:t>
      </w:r>
      <w:r w:rsidR="00E23176" w:rsidRPr="00E23176">
        <w:rPr>
          <w:color w:val="010000"/>
        </w:rPr>
        <w:t xml:space="preserve"> </w:t>
      </w:r>
      <w:r w:rsidRPr="00E23176">
        <w:rPr>
          <w:b/>
          <w:color w:val="010000"/>
        </w:rPr>
        <w:t>Adil Yargılanma Hakkının İhlal Edildiğine İlişkin İddia</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1.</w:t>
      </w:r>
      <w:r w:rsidR="00E23176" w:rsidRPr="00E23176">
        <w:rPr>
          <w:color w:val="010000"/>
        </w:rPr>
        <w:t xml:space="preserve"> </w:t>
      </w:r>
      <w:r w:rsidRPr="00E23176">
        <w:rPr>
          <w:b/>
          <w:color w:val="010000"/>
        </w:rPr>
        <w:t>Başvurucunun İddiaları</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27.</w:t>
      </w:r>
      <w:r w:rsidR="00E23176" w:rsidRPr="00E23176">
        <w:rPr>
          <w:color w:val="010000"/>
        </w:rPr>
        <w:t xml:space="preserve"> </w:t>
      </w:r>
      <w:r w:rsidRPr="00E23176">
        <w:rPr>
          <w:color w:val="010000"/>
        </w:rPr>
        <w:t>Başvurucu; maddi hata dilekçesi üzerine esasa girilerek kesinleşen kararın hukuk düzeninde olmayan bir usulle bozulduğunu, kesinleşen karara duyulan güvenin zedelendiğini belirterek adil yargılanma hakkının ihlal edildiğini ileri sürmüştür.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2.</w:t>
      </w:r>
      <w:r w:rsidR="00E23176" w:rsidRPr="00E23176">
        <w:rPr>
          <w:color w:val="010000"/>
        </w:rPr>
        <w:t xml:space="preserve"> </w:t>
      </w:r>
      <w:r w:rsidRPr="00E23176">
        <w:rPr>
          <w:b/>
          <w:color w:val="010000"/>
        </w:rPr>
        <w:t>Değerlendirme</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28.</w:t>
      </w:r>
      <w:r w:rsidR="00E23176" w:rsidRPr="00E23176">
        <w:rPr>
          <w:color w:val="010000"/>
        </w:rPr>
        <w:t xml:space="preserve"> </w:t>
      </w:r>
      <w:r w:rsidRPr="00E23176">
        <w:rPr>
          <w:color w:val="010000"/>
        </w:rPr>
        <w:t xml:space="preserve">Anayasa’nın iddianın değerlendirilmesinde dayanak alınacak </w:t>
      </w:r>
      <w:r w:rsidRPr="00E23176">
        <w:rPr>
          <w:i/>
          <w:iCs/>
          <w:color w:val="010000"/>
        </w:rPr>
        <w:t xml:space="preserve">“Hak arama hürriyeti” </w:t>
      </w:r>
      <w:r w:rsidRPr="00E23176">
        <w:rPr>
          <w:color w:val="010000"/>
        </w:rPr>
        <w:t>kenar</w:t>
      </w:r>
      <w:r w:rsidRPr="00E23176">
        <w:rPr>
          <w:i/>
          <w:iCs/>
          <w:color w:val="010000"/>
        </w:rPr>
        <w:t xml:space="preserve"> </w:t>
      </w:r>
      <w:r w:rsidRPr="00E23176">
        <w:rPr>
          <w:color w:val="010000"/>
        </w:rPr>
        <w:t>başlıklı 36. maddesinin birinci fıkrası şöyledir:</w:t>
      </w:r>
    </w:p>
    <w:p w:rsidR="007A2B5F" w:rsidRPr="00E23176" w:rsidRDefault="00E23176" w:rsidP="00E23176">
      <w:pPr>
        <w:widowControl/>
        <w:suppressAutoHyphens w:val="0"/>
        <w:spacing w:after="200"/>
        <w:ind w:left="283" w:right="283" w:firstLine="567"/>
        <w:jc w:val="both"/>
        <w:rPr>
          <w:color w:val="010000"/>
        </w:rPr>
      </w:pPr>
      <w:r w:rsidRPr="00E23176">
        <w:rPr>
          <w:i/>
          <w:iCs/>
          <w:color w:val="010000"/>
          <w:sz w:val="22"/>
        </w:rPr>
        <w:t xml:space="preserve"> </w:t>
      </w:r>
      <w:r w:rsidR="00CB14EB" w:rsidRPr="00E23176">
        <w:rPr>
          <w:i/>
          <w:iCs/>
          <w:color w:val="010000"/>
          <w:sz w:val="22"/>
        </w:rPr>
        <w:t xml:space="preserve">“Herkes, meşru vasıta ve yollardan faydalanmak suretiyle yargı mercileri önünde davacı veya davalı olarak iddia ve savunma ile adil yargılanma hakkına sahiptir.” </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29.</w:t>
      </w:r>
      <w:r w:rsidR="00E23176" w:rsidRPr="00E23176">
        <w:rPr>
          <w:color w:val="010000"/>
        </w:rPr>
        <w:t xml:space="preserve"> </w:t>
      </w:r>
      <w:r w:rsidRPr="00E23176">
        <w:rPr>
          <w:color w:val="010000"/>
        </w:rPr>
        <w:t>Anayasa Mahkemesi, olayların başvurucu tarafından yapılan hukuki nitelendirmesi ile bağlı olmayıp olay ve olguların hukuki tavsifini kendisi takdir eder (</w:t>
      </w:r>
      <w:r w:rsidRPr="00E23176">
        <w:rPr>
          <w:i/>
          <w:iCs/>
          <w:color w:val="010000"/>
        </w:rPr>
        <w:t>Tahir Canan</w:t>
      </w:r>
      <w:r w:rsidRPr="00E23176">
        <w:rPr>
          <w:color w:val="010000"/>
        </w:rPr>
        <w:t xml:space="preserve">, B. No: 2012/969, 18/9/2013, § 16). Kesinleşmiş bir mahkeme kararının hukuk düzeni tarafından tüm sonuçları ile birlikte tanınması adil yargılanma hakkının bir gereğidir. Kesin hükmün varlığı ile birlikte o kararın hukuk düzeninde doğuracağı </w:t>
      </w:r>
      <w:r w:rsidRPr="00E23176">
        <w:rPr>
          <w:color w:val="010000"/>
        </w:rPr>
        <w:lastRenderedPageBreak/>
        <w:t>sonuçların sorgulanmaması gerekir. Dolayısıyla kesinleşmiş bir kararın hukuk düzeninde var olmayan bir yöntemle ortadan kaldırılması başlı başına kararın icra edilmemesi sorununu ortaya çıkaracaktır. Kesinleşmiş bir kararla lehine hak tanımış olan bir kişinin sonuç itibarıyla o kararın sağladığı faydadan mahrum bırakılması adil yargılanma hakkına aykırı sonuçlar ortaya çıkarabilir. Başvuru konusu olayda kesinleşmiş bir mahkeme kararı, usule uygun olmayan bir yöntemle ortadan kaldırılmış; netice olarak kişi, kararın sağladığı haklardan mahrum bırakılmıştır. Bu nedenle şikâyetin adil yargılanma hakkı kapsamında incelenmesi gerektiği değerlendirilmiştir.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a.</w:t>
      </w:r>
      <w:r w:rsidR="00E23176" w:rsidRPr="00E23176">
        <w:rPr>
          <w:color w:val="010000"/>
        </w:rPr>
        <w:t xml:space="preserve"> </w:t>
      </w:r>
      <w:r w:rsidRPr="00E23176">
        <w:rPr>
          <w:b/>
          <w:color w:val="010000"/>
        </w:rPr>
        <w:t>Kabul Edilebilirlik Yönünden</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30.</w:t>
      </w:r>
      <w:r w:rsidR="00E23176" w:rsidRPr="00E23176">
        <w:rPr>
          <w:color w:val="010000"/>
        </w:rPr>
        <w:t xml:space="preserve"> </w:t>
      </w:r>
      <w:r w:rsidRPr="00E23176">
        <w:rPr>
          <w:color w:val="010000"/>
        </w:rPr>
        <w:t>Açıkça dayanaktan yoksun olmadığı ve kabul edilemezliğine karar verilmesini gerektirecek başka bir neden de bulunmadığı anlaşılan adil yargılanma hakkının ihlal edildiğine yönelik iddianın kabul edilebilir olduğuna karar verilmesi gerekir.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b.</w:t>
      </w:r>
      <w:r w:rsidR="00E23176" w:rsidRPr="00E23176">
        <w:rPr>
          <w:color w:val="010000"/>
        </w:rPr>
        <w:t xml:space="preserve"> </w:t>
      </w:r>
      <w:r w:rsidRPr="00E23176">
        <w:rPr>
          <w:b/>
          <w:color w:val="010000"/>
        </w:rPr>
        <w:t>Esas Yönünden</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i.</w:t>
      </w:r>
      <w:r w:rsidR="00E23176" w:rsidRPr="00E23176">
        <w:rPr>
          <w:color w:val="010000"/>
        </w:rPr>
        <w:t xml:space="preserve"> </w:t>
      </w:r>
      <w:r w:rsidRPr="00E23176">
        <w:rPr>
          <w:b/>
          <w:color w:val="010000"/>
        </w:rPr>
        <w:t>Genel İlkeleler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31.</w:t>
      </w:r>
      <w:r w:rsidR="00E23176" w:rsidRPr="00E23176">
        <w:rPr>
          <w:color w:val="010000"/>
        </w:rPr>
        <w:t xml:space="preserve"> </w:t>
      </w:r>
      <w:r w:rsidRPr="00E23176">
        <w:rPr>
          <w:color w:val="010000"/>
        </w:rPr>
        <w:t>Anayasa’nın 36. maddesinde ifade edilen hak arama özgürlüğü ve adil yargılanma hakkı sadece yargı mercileri önünde davacı ve davalı olarak iddia ve savunmada bulunma hakkını değil yargılama sonunda hakkı olanı elde etmeyi de kapsayan bir haktır (AYM, E.2009/27, K.2010/9, 14/1/2010).</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32.</w:t>
      </w:r>
      <w:r w:rsidR="00E23176" w:rsidRPr="00E23176">
        <w:rPr>
          <w:color w:val="010000"/>
        </w:rPr>
        <w:t xml:space="preserve"> </w:t>
      </w:r>
      <w:r w:rsidRPr="00E23176">
        <w:rPr>
          <w:color w:val="010000"/>
        </w:rPr>
        <w:t>Anayasa Mahkemesi iptal veya itiraz yoluyla gündemine gelen davalarda, Anayasa'nın 2. maddesinde belirtilen hukuk devletinin eylem ve işlemleri hukuka uygun, insan haklarına dayanan, bu hak ve özgürlükleri koruyup güçlendiren, her alanda adaletli bir hukuk düzeni kurup bunu geliştirerek sürdüren, hukuk güvenliğini sağlayan, bütün etkinliklerinde hukuka ve Anayasa'ya uyan, işlem ve eylemleri bağımsız yargı denetimine bağlı olan devlet olduğunu belirterek hukuki güvenlik ilkesinin hukuk devletinin unsurlarından biri olduğunu ifade etmiştir (AYM, E.2006/61, K.2007/91, 30/11/2007; AYM, E.2014/73, K.2014/98, 22/5/2014).</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33.</w:t>
      </w:r>
      <w:r w:rsidR="00E23176" w:rsidRPr="00E23176">
        <w:rPr>
          <w:color w:val="010000"/>
        </w:rPr>
        <w:t xml:space="preserve"> </w:t>
      </w:r>
      <w:r w:rsidRPr="00E23176">
        <w:rPr>
          <w:color w:val="010000"/>
        </w:rPr>
        <w:t>Anayasa Mahkemesi bu kavramların içeriğini kararlarında tanımlamış; kişilerin hukuki güvenliğini sağlamayı amaçlayan hukuki güvenlik ilkesinin hukuk normlarının öngörülebilir olmasını, bireylerin tüm eylem ve işlemlerinde devlete güven duyabilmesini, devletin de yasal düzenlemelerinde bu güven duygusunu zedeleyici yöntemlerden kaçınmasını gerekli kıldığını, belirlilik ilkesinin ise yasal düzenlemelerin hem kişiler hem de idare yönünden herhangi bir duraksamaya ve kuşkuya yer vermeyecek şekilde açık, net, anlaşılır ve uygulanabilir olmasını, ayrıca kamu otoritelerinin keyfî uygulamalarına karşı koruyucu önlem içermesini ifade ettiğini belirtmiştir (AYM, E.2013/64, K.2013/142, 28/11/2013).</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34.</w:t>
      </w:r>
      <w:r w:rsidR="00E23176" w:rsidRPr="00E23176">
        <w:rPr>
          <w:color w:val="010000"/>
        </w:rPr>
        <w:t xml:space="preserve"> </w:t>
      </w:r>
      <w:r w:rsidRPr="00E23176">
        <w:rPr>
          <w:color w:val="010000"/>
        </w:rPr>
        <w:t>Anayasa Mahkemesi, bazı kararlarında hukuk güvenliği ilkesinin bir gereği olarak kuralların öngörülebilir olması gerektiğinden açıkça bahsetmiş; hukuk güvenliğinin temel hak güvencelerinde korunan ortak değer olduğunu, hukuk devletinde hukuk normlarının öngörülebilir olması, bireylerin tüm işlem ve eylemlerinde devlete güven duyabilmesi gerektiğini ifade etmiştir (AYM, E.2008/19, K.2010/17, 28/1/2010).</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35.</w:t>
      </w:r>
      <w:r w:rsidR="00E23176" w:rsidRPr="00E23176">
        <w:rPr>
          <w:color w:val="010000"/>
        </w:rPr>
        <w:t xml:space="preserve"> </w:t>
      </w:r>
      <w:r w:rsidRPr="00E23176">
        <w:rPr>
          <w:i/>
          <w:iCs/>
          <w:color w:val="010000"/>
        </w:rPr>
        <w:t>Kesin hükme saygı (</w:t>
      </w:r>
      <w:proofErr w:type="spellStart"/>
      <w:r w:rsidRPr="00E23176">
        <w:rPr>
          <w:i/>
          <w:iCs/>
          <w:color w:val="010000"/>
        </w:rPr>
        <w:t>res</w:t>
      </w:r>
      <w:proofErr w:type="spellEnd"/>
      <w:r w:rsidRPr="00E23176">
        <w:rPr>
          <w:i/>
          <w:iCs/>
          <w:color w:val="010000"/>
        </w:rPr>
        <w:t xml:space="preserve"> </w:t>
      </w:r>
      <w:proofErr w:type="spellStart"/>
      <w:r w:rsidRPr="00E23176">
        <w:rPr>
          <w:i/>
          <w:iCs/>
          <w:color w:val="010000"/>
        </w:rPr>
        <w:t>judicata</w:t>
      </w:r>
      <w:proofErr w:type="spellEnd"/>
      <w:r w:rsidRPr="00E23176">
        <w:rPr>
          <w:i/>
          <w:iCs/>
          <w:color w:val="010000"/>
        </w:rPr>
        <w:t>)</w:t>
      </w:r>
      <w:r w:rsidRPr="00E23176">
        <w:rPr>
          <w:color w:val="010000"/>
        </w:rPr>
        <w:t xml:space="preserve"> ilkesi, yürürlükteki kurallara göre çözümlenen bir konunun o konunun ilgilileri arasında -kanunun öngördüğü </w:t>
      </w:r>
      <w:r w:rsidRPr="00E23176">
        <w:rPr>
          <w:i/>
          <w:iCs/>
          <w:color w:val="010000"/>
        </w:rPr>
        <w:t>iade-i muhakeme</w:t>
      </w:r>
      <w:r w:rsidRPr="00E23176">
        <w:rPr>
          <w:color w:val="010000"/>
        </w:rPr>
        <w:t xml:space="preserve"> gibi ayrık durum dışında- yeniden incelenmesine engeldir. Değişik kanunlarda yer alan bu hukuksal kurum, yargı alanında kararlılık sağlamak amacına bağlanmaktadır. Biçimsel ve nesnel anlamda tanımları yapılan bu kurumun ögeleri; yargı kararlarına tanınan bir nitelik </w:t>
      </w:r>
      <w:r w:rsidRPr="00E23176">
        <w:rPr>
          <w:color w:val="010000"/>
        </w:rPr>
        <w:lastRenderedPageBreak/>
        <w:t>olması, bu niteliğin yasalarla tanınması ve yargı kararına uyulması zorunluluğudur (AYM, E.1988/36, K.1989/24, 2/6/1989).</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36.</w:t>
      </w:r>
      <w:r w:rsidR="00E23176" w:rsidRPr="00E23176">
        <w:rPr>
          <w:color w:val="010000"/>
        </w:rPr>
        <w:t xml:space="preserve"> </w:t>
      </w:r>
      <w:r w:rsidRPr="00E23176">
        <w:rPr>
          <w:color w:val="010000"/>
        </w:rPr>
        <w:t>Kesin hükme saygı ve kesin hükmün bağlayıcı olması, hükmü veren mahkeme de dâhil diğer bütün mahkemelerin ve diğer ilgili kurumların bu kararla bağlı olması anlamına gelir. Yargının verdiği ve bağlayıcı olan kesin hüküm, zarar gören taraflardan biri açısından işlevsiz duruma getirilmişse adil yargılanma hakkının sağladığı güvencelerin bir anlamı kalmayacaktır (</w:t>
      </w:r>
      <w:r w:rsidRPr="00E23176">
        <w:rPr>
          <w:i/>
          <w:iCs/>
          <w:color w:val="010000"/>
        </w:rPr>
        <w:t xml:space="preserve">Arman </w:t>
      </w:r>
      <w:proofErr w:type="spellStart"/>
      <w:r w:rsidRPr="00E23176">
        <w:rPr>
          <w:i/>
          <w:iCs/>
          <w:color w:val="010000"/>
        </w:rPr>
        <w:t>Mazman</w:t>
      </w:r>
      <w:proofErr w:type="spellEnd"/>
      <w:r w:rsidRPr="00E23176">
        <w:rPr>
          <w:color w:val="010000"/>
        </w:rPr>
        <w:t xml:space="preserve">, B. No: 2013/1752, 26/6/2014, § 65; </w:t>
      </w:r>
      <w:proofErr w:type="spellStart"/>
      <w:r w:rsidRPr="00E23176">
        <w:rPr>
          <w:i/>
          <w:iCs/>
          <w:color w:val="010000"/>
        </w:rPr>
        <w:t>Alba</w:t>
      </w:r>
      <w:proofErr w:type="spellEnd"/>
      <w:r w:rsidRPr="00E23176">
        <w:rPr>
          <w:i/>
          <w:iCs/>
          <w:color w:val="010000"/>
        </w:rPr>
        <w:t xml:space="preserve"> İnşaat Tic. Ltd. Şti.</w:t>
      </w:r>
      <w:r w:rsidRPr="00E23176">
        <w:rPr>
          <w:color w:val="010000"/>
        </w:rPr>
        <w:t>, B. No: 2013/1313, 26/2/2015, §§ 53, 54).</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37.</w:t>
      </w:r>
      <w:r w:rsidR="00E23176" w:rsidRPr="00E23176">
        <w:rPr>
          <w:color w:val="010000"/>
        </w:rPr>
        <w:t xml:space="preserve"> </w:t>
      </w:r>
      <w:r w:rsidRPr="00E23176">
        <w:rPr>
          <w:color w:val="010000"/>
        </w:rPr>
        <w:t>Mahkemeler aynı konuda aynı dava sebebine dayanarak aynı taraflar hakkında önceki bir davada verilmiş bir kesin hüküm ile bağlı olup aynı davayı bir daha göremez. Açılan bir dava hakkında kesin hükmün bulunmaması dava şartlarındandır ve taraflar bu konuda usule ilişkin bir itiraz hakkına sahiptirler (</w:t>
      </w:r>
      <w:proofErr w:type="spellStart"/>
      <w:r w:rsidRPr="00E23176">
        <w:rPr>
          <w:i/>
          <w:iCs/>
          <w:color w:val="010000"/>
        </w:rPr>
        <w:t>Alba</w:t>
      </w:r>
      <w:proofErr w:type="spellEnd"/>
      <w:r w:rsidRPr="00E23176">
        <w:rPr>
          <w:i/>
          <w:iCs/>
          <w:color w:val="010000"/>
        </w:rPr>
        <w:t xml:space="preserve"> İnşaat Tic. Ltd. Şti.</w:t>
      </w:r>
      <w:r w:rsidRPr="00E23176">
        <w:rPr>
          <w:color w:val="010000"/>
        </w:rPr>
        <w:t>, B. No, § 54).</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38.</w:t>
      </w:r>
      <w:r w:rsidR="00E23176" w:rsidRPr="00E23176">
        <w:rPr>
          <w:color w:val="010000"/>
        </w:rPr>
        <w:t xml:space="preserve"> </w:t>
      </w:r>
      <w:r w:rsidRPr="00E23176">
        <w:rPr>
          <w:color w:val="010000"/>
        </w:rPr>
        <w:t xml:space="preserve">Bir mahkeme kararının kesin hüküm mahiyetini alabilmesi için genel olarak üç koşul aranmaktadır. Bunlardan birincisi kesin hüküm sayılan bir mahkeme kararının bulunmasıdır. Tespit ve tedbir kararları ile icra mahkemesi kararları kesin hükmün bağlayıcılığı kudretini haiz değildir. İkinci olarak kesinleşen kararın taraflar arasında mevcut olan bir ihtilafı çözmek amacıyla verilmesi gerekir. Dolayısıyla bir anlaşmazlığı çözmeyen, hasımsız olarak verilen bazı veraset davaları kesin hüküm mahiyetini haiz değildir. Üçüncü olarak söz konusu kararlar nihai olmalıdır. Kararların </w:t>
      </w:r>
      <w:proofErr w:type="spellStart"/>
      <w:r w:rsidRPr="00E23176">
        <w:rPr>
          <w:color w:val="010000"/>
        </w:rPr>
        <w:t>nihailiği</w:t>
      </w:r>
      <w:proofErr w:type="spellEnd"/>
      <w:r w:rsidRPr="00E23176">
        <w:rPr>
          <w:color w:val="010000"/>
        </w:rPr>
        <w:t xml:space="preserve"> mahkemenin tarafların iddia ve savunmalarını dinleyerek ve delilleri değerlendirerek bu hususta son kararını vermiş olması anlamına gelmektedir. Bir kararın maddi anlamda kesin hüküm niteliğini haiz olması ve bu konuda kesin hüküm itirazında bulunulabilmesi için davanın taraflarının, konusunun ve sebeplerinin aynı olması gerekmektedir (</w:t>
      </w:r>
      <w:proofErr w:type="spellStart"/>
      <w:r w:rsidRPr="00E23176">
        <w:rPr>
          <w:i/>
          <w:iCs/>
          <w:color w:val="010000"/>
        </w:rPr>
        <w:t>Alba</w:t>
      </w:r>
      <w:proofErr w:type="spellEnd"/>
      <w:r w:rsidRPr="00E23176">
        <w:rPr>
          <w:i/>
          <w:iCs/>
          <w:color w:val="010000"/>
        </w:rPr>
        <w:t xml:space="preserve"> İnşaat Tic. Ltd. Şti.</w:t>
      </w:r>
      <w:r w:rsidRPr="00E23176">
        <w:rPr>
          <w:color w:val="010000"/>
        </w:rPr>
        <w:t>, § 54).</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39.</w:t>
      </w:r>
      <w:r w:rsidR="00E23176" w:rsidRPr="00E23176">
        <w:rPr>
          <w:color w:val="010000"/>
        </w:rPr>
        <w:t xml:space="preserve"> </w:t>
      </w:r>
      <w:r w:rsidRPr="00E23176">
        <w:rPr>
          <w:color w:val="010000"/>
        </w:rPr>
        <w:t>Hukuk sisteminde nihai mahkeme kararlarını taraflardan birinin aleyhine sonuç doğuracak şekilde uygulanamaz hâle getiren düzenleme ve uygulamalar bulunması veya mahkeme kararlarının icrasının herhangi bir şekilde engellenmesi hâllerinde</w:t>
      </w:r>
      <w:r w:rsidRPr="00E23176">
        <w:rPr>
          <w:i/>
          <w:iCs/>
          <w:color w:val="010000"/>
        </w:rPr>
        <w:t xml:space="preserve"> mahkeme hakkı</w:t>
      </w:r>
      <w:r w:rsidRPr="00E23176">
        <w:rPr>
          <w:color w:val="010000"/>
        </w:rPr>
        <w:t xml:space="preserve"> da anlamını yitirecektir</w:t>
      </w:r>
      <w:r w:rsidRPr="00E23176">
        <w:rPr>
          <w:i/>
          <w:iCs/>
          <w:color w:val="010000"/>
        </w:rPr>
        <w:t xml:space="preserve"> </w:t>
      </w:r>
      <w:r w:rsidRPr="00E23176">
        <w:rPr>
          <w:color w:val="010000"/>
        </w:rPr>
        <w:t>(</w:t>
      </w:r>
      <w:r w:rsidRPr="00E23176">
        <w:rPr>
          <w:i/>
          <w:iCs/>
          <w:color w:val="010000"/>
        </w:rPr>
        <w:t>Mustafa Ekşi</w:t>
      </w:r>
      <w:r w:rsidRPr="00E23176">
        <w:rPr>
          <w:color w:val="010000"/>
        </w:rPr>
        <w:t>, B. No: 2014/7711, 24/1/2018, § 27).</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40.</w:t>
      </w:r>
      <w:r w:rsidR="00E23176" w:rsidRPr="00E23176">
        <w:rPr>
          <w:color w:val="010000"/>
        </w:rPr>
        <w:t xml:space="preserve"> </w:t>
      </w:r>
      <w:r w:rsidRPr="00E23176">
        <w:rPr>
          <w:color w:val="010000"/>
        </w:rPr>
        <w:t>Kesin hükme saygı, uluslararası hukuk düzenine özgü hukukun genel ilkelerinden biri olarak kabul görmektedir. Anayasa'nın 138. maddesinin son fıkrasında düzenlenen yargı kararlarının geciktirilmeksizin uygulanması yükümlülüğü, hukukun genel ilkelerinden biri olarak da kabul edilen kesin hükme saygı ilkesinin bir gereğidir (</w:t>
      </w:r>
      <w:r w:rsidRPr="00E23176">
        <w:rPr>
          <w:i/>
          <w:iCs/>
          <w:color w:val="010000"/>
        </w:rPr>
        <w:t xml:space="preserve">Arman </w:t>
      </w:r>
      <w:proofErr w:type="spellStart"/>
      <w:r w:rsidRPr="00E23176">
        <w:rPr>
          <w:i/>
          <w:iCs/>
          <w:color w:val="010000"/>
        </w:rPr>
        <w:t>Mazman</w:t>
      </w:r>
      <w:proofErr w:type="spellEnd"/>
      <w:r w:rsidRPr="00E23176">
        <w:rPr>
          <w:color w:val="010000"/>
        </w:rPr>
        <w:t>, § 65).</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41.</w:t>
      </w:r>
      <w:r w:rsidR="00E23176" w:rsidRPr="00E23176">
        <w:rPr>
          <w:color w:val="010000"/>
        </w:rPr>
        <w:t xml:space="preserve"> </w:t>
      </w:r>
      <w:r w:rsidRPr="00E23176">
        <w:rPr>
          <w:color w:val="010000"/>
        </w:rPr>
        <w:t>Adil yargılanma hakkı ile bağlantılı olan kesin hükme saygı ilkesi, kesinleşmiş bir mahkeme hükmüyle bireylere tanınan statüye (hak ve borçlara) hukuk düzenince istisnai durumlar dışında müdahale edilmemesini gerekli kılar. Bunun sonucu olarak mahkemeler aynı konuda aynı dava sebebine dayanarak aynı taraflar hakkında verilmiş olan hüküm ile bağlıdır. Kesin hükmün dokunulmazlığı ilkesi mutlak değildir. Bazı istisnai durumlarda kesin hükme müdahale edilmesine hukuk sistemleri cevaz verebilir. Nitekim usul hukukunda sınırlı hâllerde uygulanmak üzere buna yönelik bazı müesseseler (hükmün tavzihi, tashihi, tamamlanması, yargılamanın yenilenmesi, kanun yararına temyiz) öngörülmüştür. Bunun dışındaki müdahalelerin olağan yargısal süreçteki gibi deliller yeniden değerlendirilerek kesin hükmün esastan yeniden incelenmesi sonucunu doğurmaması gerekir (</w:t>
      </w:r>
      <w:r w:rsidRPr="00E23176">
        <w:rPr>
          <w:i/>
          <w:iCs/>
          <w:color w:val="010000"/>
        </w:rPr>
        <w:t>Mustafa Altın</w:t>
      </w:r>
      <w:r w:rsidRPr="00E23176">
        <w:rPr>
          <w:color w:val="010000"/>
        </w:rPr>
        <w:t xml:space="preserve"> [GK], B. No: 2018/10018, 27/10/2021, § 63).</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42.</w:t>
      </w:r>
      <w:r w:rsidR="00E23176" w:rsidRPr="00E23176">
        <w:rPr>
          <w:color w:val="010000"/>
        </w:rPr>
        <w:t xml:space="preserve"> </w:t>
      </w:r>
      <w:r w:rsidRPr="00E23176">
        <w:rPr>
          <w:color w:val="010000"/>
        </w:rPr>
        <w:t xml:space="preserve">Anayasa Mahkemesi kesinleşmiş mahkeme kararının yok hükmünde kabul edilerek icra edilmemesi meselesiyle ilgili olarak yaptığı değerlendirmede kesin ve bağlayıcı olan mahkeme kararının taraflardan biri açısından işlemsiz hâle getirilmesinin </w:t>
      </w:r>
      <w:r w:rsidRPr="00E23176">
        <w:rPr>
          <w:color w:val="010000"/>
        </w:rPr>
        <w:lastRenderedPageBreak/>
        <w:t>adil yargılanma</w:t>
      </w:r>
      <w:r w:rsidR="00E23176">
        <w:rPr>
          <w:color w:val="010000"/>
        </w:rPr>
        <w:t xml:space="preserve"> </w:t>
      </w:r>
      <w:r w:rsidRPr="00E23176">
        <w:rPr>
          <w:color w:val="010000"/>
        </w:rPr>
        <w:t>hakkını</w:t>
      </w:r>
      <w:r w:rsidR="00E23176">
        <w:rPr>
          <w:color w:val="010000"/>
        </w:rPr>
        <w:t xml:space="preserve"> </w:t>
      </w:r>
      <w:r w:rsidRPr="00E23176">
        <w:rPr>
          <w:color w:val="010000"/>
        </w:rPr>
        <w:t>zedeleyeceğini ancak her somut olayın koşullarında değerlendirileceği üzere uyulması beklenen kesin hükmün de hukukun temel esaslarına, hakkaniyet ve adalet ilkelerine aykırı verilmemesi gerektiğini belirtmiştir (</w:t>
      </w:r>
      <w:r w:rsidRPr="00E23176">
        <w:rPr>
          <w:i/>
          <w:iCs/>
          <w:color w:val="010000"/>
        </w:rPr>
        <w:t xml:space="preserve">Remzi </w:t>
      </w:r>
      <w:proofErr w:type="spellStart"/>
      <w:r w:rsidRPr="00E23176">
        <w:rPr>
          <w:i/>
          <w:iCs/>
          <w:color w:val="010000"/>
        </w:rPr>
        <w:t>Saldıray</w:t>
      </w:r>
      <w:proofErr w:type="spellEnd"/>
      <w:r w:rsidRPr="00E23176">
        <w:rPr>
          <w:color w:val="010000"/>
        </w:rPr>
        <w:t>, B. No: 2016/2377, 24/2/2021, § 44). Aksi durumda kesinleşmiş mahkeme kararlarının sürekli sorgulanarak hukuki güvenlik ve belirlilik ilkeleri zedelenecek, bireylerin hukuk sistemine olan güvenleri sarsılabilecektir.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43.</w:t>
      </w:r>
      <w:r w:rsidR="00E23176" w:rsidRPr="00E23176">
        <w:rPr>
          <w:color w:val="010000"/>
        </w:rPr>
        <w:t xml:space="preserve"> </w:t>
      </w:r>
      <w:r w:rsidRPr="00E23176">
        <w:rPr>
          <w:color w:val="010000"/>
        </w:rPr>
        <w:t xml:space="preserve">Bununla birlikte kesinleşmiş bir mahkeme kararına müdahaleyi gerekli kılan önemli ve zorlayıcı koşulların varlığının somut gerekçelerle ortaya konulması hâlinde örneğin kararın hukukun temel ilkelerine açıkça aykırı verilmiş olması gibi hâllerde kesin hükme müdahale edilmesi için söz konusu istisnai koşulların uygulanabilmesine yönelik kanunla usule ilişkin müesseselerin oluşturulmasının da gerekli olduğu açıktır. Başka bir ifadeyle hukuki belirlilik ve öngörülebilirlik ilkelerinin bir gereği olarak kesin hükmün ortadan kaldırılmasının şartlarının ve usullerinin kanunda açıkça düzenlenmesi zorunludur. Bu bağlamda hangi süre içinde bu yola başvurulabileceği kanunda </w:t>
      </w:r>
      <w:proofErr w:type="spellStart"/>
      <w:r w:rsidRPr="00E23176">
        <w:rPr>
          <w:color w:val="010000"/>
        </w:rPr>
        <w:t>tereddüte</w:t>
      </w:r>
      <w:proofErr w:type="spellEnd"/>
      <w:r w:rsidRPr="00E23176">
        <w:rPr>
          <w:color w:val="010000"/>
        </w:rPr>
        <w:t xml:space="preserve"> mahal bırakmayacak bir şekilde gösterilmeli ve söz konusu süre, makulün ötesine geçmemelidir (</w:t>
      </w:r>
      <w:r w:rsidRPr="00E23176">
        <w:rPr>
          <w:i/>
          <w:iCs/>
          <w:color w:val="010000"/>
        </w:rPr>
        <w:t>Mustafa Altın</w:t>
      </w:r>
      <w:r w:rsidRPr="00E23176">
        <w:rPr>
          <w:color w:val="010000"/>
        </w:rPr>
        <w:t>, § 65).</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ii.</w:t>
      </w:r>
      <w:r w:rsidR="00E23176" w:rsidRPr="00E23176">
        <w:rPr>
          <w:color w:val="010000"/>
        </w:rPr>
        <w:t xml:space="preserve"> </w:t>
      </w:r>
      <w:r w:rsidRPr="00E23176">
        <w:rPr>
          <w:b/>
          <w:color w:val="010000"/>
        </w:rPr>
        <w:t>İlkelerin Olaya Uygulanması</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44.</w:t>
      </w:r>
      <w:r w:rsidR="00E23176" w:rsidRPr="00E23176">
        <w:rPr>
          <w:color w:val="010000"/>
        </w:rPr>
        <w:t xml:space="preserve"> </w:t>
      </w:r>
      <w:r w:rsidRPr="00E23176">
        <w:rPr>
          <w:color w:val="010000"/>
        </w:rPr>
        <w:t>Somut olayda işe iade ve tazminat davasının kabulüne karar verilmiş, istinaf mahkemesi sadece davalı tarafın istinaf dilekçesini incelemiş, ilk derece mahkemesince yargılama gideri olan arabuluculuk ücreti ile ilgili hüküm kurulmadığını belirterek ilk derece mahkemesinin kararını kaldırarak arabuluculuk ücretini eklemek suretiyle yeniden hüküm kurmuştur. Başvurucu, süresinde verdiği istinaf dilekçesinin değerlendirilmediğini belirterek</w:t>
      </w:r>
      <w:r w:rsidR="00E23176">
        <w:rPr>
          <w:color w:val="010000"/>
        </w:rPr>
        <w:t xml:space="preserve"> </w:t>
      </w:r>
      <w:r w:rsidRPr="00E23176">
        <w:rPr>
          <w:color w:val="010000"/>
        </w:rPr>
        <w:t xml:space="preserve">maddi hatanın düzeltilmesini talep etmiştir. İstinaf mahkemesi </w:t>
      </w:r>
      <w:proofErr w:type="spellStart"/>
      <w:r w:rsidRPr="00E23176">
        <w:rPr>
          <w:color w:val="010000"/>
        </w:rPr>
        <w:t>sevhen</w:t>
      </w:r>
      <w:proofErr w:type="spellEnd"/>
      <w:r w:rsidRPr="00E23176">
        <w:rPr>
          <w:color w:val="010000"/>
        </w:rPr>
        <w:t xml:space="preserve"> başvurucunun istinaf dilekçesinin değerlendirilmediğini belirtip başvurucunun istinaf dilekçesini dikkate alarak kesin olmak üzere davayı ek kararla hükme bağlamıştır.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45.</w:t>
      </w:r>
      <w:r w:rsidR="00E23176" w:rsidRPr="00E23176">
        <w:rPr>
          <w:color w:val="010000"/>
        </w:rPr>
        <w:t xml:space="preserve"> </w:t>
      </w:r>
      <w:r w:rsidRPr="00E23176">
        <w:rPr>
          <w:color w:val="010000"/>
        </w:rPr>
        <w:t>Bu defa istinaf mahkemesi davalı tarafın maddi hata inceleme talebi üzerine daha önce başvurucu lehine kesin olarak verdiği esas ve ek kararı kaldırmış, bu kesin hükme rağmen işe iade ve tazminat davasının başvurucunun süresi içinde arabuluculuğa başvurmadığını belirterek hak düşürücü süre nedeniyle kesin olarak reddine karar vermiştir.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46.</w:t>
      </w:r>
      <w:r w:rsidR="00E23176" w:rsidRPr="00E23176">
        <w:rPr>
          <w:color w:val="010000"/>
        </w:rPr>
        <w:t xml:space="preserve"> </w:t>
      </w:r>
      <w:r w:rsidRPr="00E23176">
        <w:rPr>
          <w:color w:val="010000"/>
        </w:rPr>
        <w:t>Başvurucu istinaf mahkemesinin kesin olarak vermiş olduğu kararının davalının maddi hata düzeltme dilekçesi vermesi üzerine kaldırılarak hak düşürücü süre nedeniyle davanın reddine karar verilmesinden diğer bir ifadeyle lehine verilen kesin hükmün aleyhine olacak şekilde ortadan kaldırılmasından yakınmaktadır.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47.</w:t>
      </w:r>
      <w:r w:rsidR="00E23176" w:rsidRPr="00E23176">
        <w:rPr>
          <w:color w:val="010000"/>
        </w:rPr>
        <w:t xml:space="preserve"> </w:t>
      </w:r>
      <w:r w:rsidRPr="00E23176">
        <w:rPr>
          <w:color w:val="010000"/>
        </w:rPr>
        <w:t>6100 sayılı Kanun'a göre ilk derece mahkemesi kararlarına karşı istinaf, temyiz ve karar düzeltme olağan kanun yolu; yargılamanın yenilenmesi ile kanun yararına temyiz olağanüstü kanun yolu olarak düzenlenmiştir. Olay tarihinde yürürlükte bulunan 7036 sayılı Kanun'un</w:t>
      </w:r>
      <w:r w:rsidRPr="00E23176">
        <w:rPr>
          <w:i/>
          <w:iCs/>
          <w:color w:val="010000"/>
        </w:rPr>
        <w:t xml:space="preserve"> </w:t>
      </w:r>
      <w:r w:rsidRPr="00E23176">
        <w:rPr>
          <w:color w:val="010000"/>
        </w:rPr>
        <w:t>8. maddesinin (1) numaralı fıkrasının (a) bendi ile 4857 sayılı Kanun'un 20. maddesinin (3) numaralı fıkrasına göre işe iade davaları hakkında verilen kararlar istinaf kanun yoluna tabi olup istinaf mahkemesinin bu davalar ile ilgili kararları kesindir.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48.</w:t>
      </w:r>
      <w:r w:rsidR="00E23176" w:rsidRPr="00E23176">
        <w:rPr>
          <w:color w:val="010000"/>
        </w:rPr>
        <w:t xml:space="preserve"> </w:t>
      </w:r>
      <w:r w:rsidRPr="00E23176">
        <w:rPr>
          <w:color w:val="010000"/>
        </w:rPr>
        <w:t xml:space="preserve">6100 sayılı Kanun'un 304. maddesinin (1) numaralı fıkrasına göre hükmün tashihi yoluyla ancak </w:t>
      </w:r>
      <w:r w:rsidRPr="00E23176">
        <w:rPr>
          <w:i/>
          <w:iCs/>
          <w:color w:val="010000"/>
        </w:rPr>
        <w:t xml:space="preserve">yazı ve hesap hataları ile diğer benzeri açık hatalar </w:t>
      </w:r>
      <w:r w:rsidRPr="00E23176">
        <w:rPr>
          <w:color w:val="010000"/>
        </w:rPr>
        <w:t>düzeltilebilir.</w:t>
      </w:r>
      <w:r w:rsidR="00E23176">
        <w:rPr>
          <w:color w:val="010000"/>
        </w:rPr>
        <w:t xml:space="preserve"> </w:t>
      </w:r>
      <w:r w:rsidRPr="00E23176">
        <w:rPr>
          <w:color w:val="010000"/>
        </w:rPr>
        <w:t>Dolayısıyla maddi hata yoluyla hükmün ortadan kaldırılması ve uyuşmazlığın esasını tekrar karara bağlayacak şekilde yeniden yargılama yapılması mümkün değildir.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49.</w:t>
      </w:r>
      <w:r w:rsidR="00E23176" w:rsidRPr="00E23176">
        <w:rPr>
          <w:color w:val="010000"/>
        </w:rPr>
        <w:t xml:space="preserve"> </w:t>
      </w:r>
      <w:r w:rsidRPr="00E23176">
        <w:rPr>
          <w:color w:val="010000"/>
        </w:rPr>
        <w:t xml:space="preserve">Yargıtay kararlarında, şeklî anlamda kesinleşen kararlara yönelik açık maddi hatanın varlığı gerekçe gösterilerek müdahale edilmesinde iki temel noktaya vurgu </w:t>
      </w:r>
      <w:r w:rsidRPr="00E23176">
        <w:rPr>
          <w:color w:val="010000"/>
        </w:rPr>
        <w:lastRenderedPageBreak/>
        <w:t xml:space="preserve">yapılmıştır. Buna göre </w:t>
      </w:r>
      <w:proofErr w:type="spellStart"/>
      <w:r w:rsidRPr="00E23176">
        <w:rPr>
          <w:color w:val="010000"/>
        </w:rPr>
        <w:t>Yargıtayca</w:t>
      </w:r>
      <w:proofErr w:type="spellEnd"/>
      <w:r w:rsidRPr="00E23176">
        <w:rPr>
          <w:color w:val="010000"/>
        </w:rPr>
        <w:t xml:space="preserve"> verilen kararın (onama/bozma) hukuki değerlendirme veya delil takdiri dışında tamamen maddi olgulara yönelik olarak ilk bakışta açık ve belirgin olarak anlaşılabilmesi, ayrıca bu hatanın yargılamanın sonucunu büyük ölçüde etkileyen yanlışlıklar içermesi gerekmektedir. Bu durumda karşı taraf lehine usule ilişkin kazanılmış hak doğmayacak, bu tür açık hatalarda maddi gerçek </w:t>
      </w:r>
      <w:proofErr w:type="spellStart"/>
      <w:r w:rsidRPr="00E23176">
        <w:rPr>
          <w:color w:val="010000"/>
        </w:rPr>
        <w:t>gözardı</w:t>
      </w:r>
      <w:proofErr w:type="spellEnd"/>
      <w:r w:rsidRPr="00E23176">
        <w:rPr>
          <w:color w:val="010000"/>
        </w:rPr>
        <w:t xml:space="preserve"> edilemeyecek ve karara müdahale edilebilecektir. Ancak Yargıtay bu şekilde yapılacak müdahalenin de sınırını belirlemiştir. Maddi hata denetimi altında delillerin değerlendirilmesi ve hukuki nitelendirilmede hata yapıldığı gerekçesiyle kesinleşmiş olan mahkeme kararına müdahale edilmesi mümkün değildir.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50.</w:t>
      </w:r>
      <w:r w:rsidR="00E23176" w:rsidRPr="00E23176">
        <w:rPr>
          <w:color w:val="010000"/>
        </w:rPr>
        <w:t xml:space="preserve"> </w:t>
      </w:r>
      <w:r w:rsidRPr="00E23176">
        <w:rPr>
          <w:color w:val="010000"/>
        </w:rPr>
        <w:t>Bu yönüyle şeklî anlamda kesinleşen ve maddi anlamda da kesin hüküm gücüne ulaşan kararla ilgili yeniden delil değerlendirmesi yapılmak suretiyle maddi hata denetimi adı altında davanın tekrar kanun yolu denetimine tabi tutulması ve bu suretle kesin hükmün ortadan kaldırılması mümkün değildir.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51.</w:t>
      </w:r>
      <w:r w:rsidR="00E23176" w:rsidRPr="00E23176">
        <w:rPr>
          <w:color w:val="010000"/>
        </w:rPr>
        <w:t xml:space="preserve"> </w:t>
      </w:r>
      <w:r w:rsidRPr="00E23176">
        <w:rPr>
          <w:color w:val="010000"/>
        </w:rPr>
        <w:t xml:space="preserve">İstinaf mahkemesinin usul hukukunda öngörülmemiş bir yöntemle kanuni dayanağı olmaksızın kesinleşmiş hükme müdahale edilmesini gerektirecek zorlayıcı ve istisnai durumları yine usul hukukunda öngörülen müesseseler çerçevesinde objektif ve kabul edilebilir ölçüde ortaya koymadan başvurucunun lehine olan nihai ve bağlayıcı nitelikteki kararın hüküm ve sonuçlarını ortadan kaldıracak şekilde karar verdiği anlaşılmıştır. Başka bir ifadeyle kesin nitelikteki mahkeme hükmünün icra edilebilirliğinin yeni bir mahkeme kararıyla etkisiz hâle getirilmesi suretiyle başvurucunun adil yargılanma hakkının ihlal edildiği sonucuna ulaşılmıştır (benzer yönde bkz. </w:t>
      </w:r>
      <w:r w:rsidRPr="00E23176">
        <w:rPr>
          <w:i/>
          <w:iCs/>
          <w:color w:val="010000"/>
        </w:rPr>
        <w:t xml:space="preserve">Mustafa Altın, </w:t>
      </w:r>
      <w:r w:rsidRPr="00E23176">
        <w:rPr>
          <w:color w:val="010000"/>
        </w:rPr>
        <w:t>§§ 66-72).</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52.</w:t>
      </w:r>
      <w:r w:rsidR="00E23176" w:rsidRPr="00E23176">
        <w:rPr>
          <w:color w:val="010000"/>
        </w:rPr>
        <w:t xml:space="preserve"> </w:t>
      </w:r>
      <w:r w:rsidRPr="00E23176">
        <w:rPr>
          <w:color w:val="010000"/>
        </w:rPr>
        <w:t>Açıklanan gerekçelerle başvurucunun Anayasa’nın 36. maddesinde güvence altına alınan adil yargılanma hakkının ihlal edildiğine karar verilmesi gerekir.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B.</w:t>
      </w:r>
      <w:r w:rsidR="00E23176" w:rsidRPr="00E23176">
        <w:rPr>
          <w:color w:val="010000"/>
        </w:rPr>
        <w:t xml:space="preserve"> </w:t>
      </w:r>
      <w:r w:rsidRPr="00E23176">
        <w:rPr>
          <w:b/>
          <w:color w:val="010000"/>
        </w:rPr>
        <w:t>Mülkiyet Hakkının İhlal Edildiğine İlişkin İddia</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1.</w:t>
      </w:r>
      <w:r w:rsidR="00E23176" w:rsidRPr="00E23176">
        <w:rPr>
          <w:color w:val="010000"/>
        </w:rPr>
        <w:t xml:space="preserve"> </w:t>
      </w:r>
      <w:r w:rsidRPr="00E23176">
        <w:rPr>
          <w:b/>
          <w:color w:val="010000"/>
        </w:rPr>
        <w:t>Başvurucunun İddiaları</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53.</w:t>
      </w:r>
      <w:r w:rsidR="00E23176" w:rsidRPr="00E23176">
        <w:rPr>
          <w:color w:val="010000"/>
        </w:rPr>
        <w:t xml:space="preserve"> </w:t>
      </w:r>
      <w:r w:rsidRPr="00E23176">
        <w:rPr>
          <w:color w:val="010000"/>
        </w:rPr>
        <w:t>Başvurucu, işe iade ve tazminat taleplerinin kabul edilmesiyle lehine sonuçlanan kesinleşmiş mahkeme kararının maddi hata gerekçesiyle istinaf mahkemesince ortadan kaldırılarak aleyhine karar verilmesi nedeniyle Anayasa'nın 35. maddesinde güvence altına alınan mülkiyet hakkının ihlal edildiğini ileri sürmüştür.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2.</w:t>
      </w:r>
      <w:r w:rsidR="00E23176" w:rsidRPr="00E23176">
        <w:rPr>
          <w:color w:val="010000"/>
        </w:rPr>
        <w:t xml:space="preserve"> </w:t>
      </w:r>
      <w:r w:rsidRPr="00E23176">
        <w:rPr>
          <w:b/>
          <w:color w:val="010000"/>
        </w:rPr>
        <w:t>Değerlendirme</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54.</w:t>
      </w:r>
      <w:r w:rsidR="00E23176" w:rsidRPr="00E23176">
        <w:rPr>
          <w:color w:val="010000"/>
        </w:rPr>
        <w:t xml:space="preserve"> </w:t>
      </w:r>
      <w:r w:rsidRPr="00E23176">
        <w:rPr>
          <w:color w:val="010000"/>
        </w:rPr>
        <w:t>Anayasa’nın</w:t>
      </w:r>
      <w:r w:rsidRPr="00E23176">
        <w:rPr>
          <w:i/>
          <w:iCs/>
          <w:color w:val="010000"/>
        </w:rPr>
        <w:t xml:space="preserve"> "Mülkiyet hakkı"</w:t>
      </w:r>
      <w:r w:rsidRPr="00E23176">
        <w:rPr>
          <w:color w:val="010000"/>
        </w:rPr>
        <w:t xml:space="preserve"> kenar başlıklı 35. maddesi şöyledir:</w:t>
      </w:r>
    </w:p>
    <w:p w:rsidR="007A2B5F" w:rsidRPr="00E23176" w:rsidRDefault="00E23176" w:rsidP="00E23176">
      <w:pPr>
        <w:widowControl/>
        <w:suppressAutoHyphens w:val="0"/>
        <w:spacing w:after="200"/>
        <w:ind w:left="283" w:right="283" w:firstLine="567"/>
        <w:jc w:val="both"/>
        <w:rPr>
          <w:color w:val="010000"/>
        </w:rPr>
      </w:pPr>
      <w:r w:rsidRPr="00E23176">
        <w:rPr>
          <w:i/>
          <w:iCs/>
          <w:color w:val="010000"/>
          <w:sz w:val="22"/>
        </w:rPr>
        <w:t xml:space="preserve"> </w:t>
      </w:r>
      <w:r w:rsidR="00CB14EB" w:rsidRPr="00E23176">
        <w:rPr>
          <w:i/>
          <w:iCs/>
          <w:color w:val="010000"/>
          <w:sz w:val="22"/>
        </w:rPr>
        <w:t>“Herkes, mülkiyet ve miras haklarına sahiptir.</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Bu haklar, ancak kamu yararı amacıyla, kanunla sınırlanabilir.</w:t>
      </w:r>
    </w:p>
    <w:p w:rsidR="007A2B5F" w:rsidRPr="00E23176" w:rsidRDefault="00CB14EB" w:rsidP="00E23176">
      <w:pPr>
        <w:widowControl/>
        <w:suppressAutoHyphens w:val="0"/>
        <w:spacing w:after="200"/>
        <w:ind w:left="283" w:right="283" w:firstLine="567"/>
        <w:jc w:val="both"/>
        <w:rPr>
          <w:color w:val="010000"/>
        </w:rPr>
      </w:pPr>
      <w:r w:rsidRPr="00E23176">
        <w:rPr>
          <w:i/>
          <w:iCs/>
          <w:color w:val="010000"/>
          <w:sz w:val="22"/>
        </w:rPr>
        <w:t>Mülkiyet hakkının kullanılması toplum yararına aykırı olamaz.”</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a.</w:t>
      </w:r>
      <w:r w:rsidR="00E23176" w:rsidRPr="00E23176">
        <w:rPr>
          <w:color w:val="010000"/>
        </w:rPr>
        <w:t xml:space="preserve"> </w:t>
      </w:r>
      <w:r w:rsidRPr="00E23176">
        <w:rPr>
          <w:b/>
          <w:color w:val="010000"/>
        </w:rPr>
        <w:t>Kabul Edilebilirlik Yönünden</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55.</w:t>
      </w:r>
      <w:r w:rsidR="00E23176" w:rsidRPr="00E23176">
        <w:rPr>
          <w:color w:val="010000"/>
        </w:rPr>
        <w:t xml:space="preserve"> </w:t>
      </w:r>
      <w:r w:rsidRPr="00E23176">
        <w:rPr>
          <w:color w:val="010000"/>
        </w:rPr>
        <w:t>Açıkça dayanaktan yoksun olmadığı ve kabul edilemezliğine karar verilmesini gerektirecek başka bir neden de bulunmadığı anlaşılan mülkiyet hakkının ihlal edildiğine ilişkin iddianın kabul edilebilir olduğuna karar verilmesi gerekir.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b.</w:t>
      </w:r>
      <w:r w:rsidR="00E23176" w:rsidRPr="00E23176">
        <w:rPr>
          <w:color w:val="010000"/>
        </w:rPr>
        <w:t xml:space="preserve"> </w:t>
      </w:r>
      <w:r w:rsidRPr="00E23176">
        <w:rPr>
          <w:b/>
          <w:color w:val="010000"/>
        </w:rPr>
        <w:t>Esas Yönünden</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i.</w:t>
      </w:r>
      <w:r w:rsidR="00E23176" w:rsidRPr="00E23176">
        <w:rPr>
          <w:color w:val="010000"/>
        </w:rPr>
        <w:t xml:space="preserve"> </w:t>
      </w:r>
      <w:r w:rsidRPr="00E23176">
        <w:rPr>
          <w:b/>
          <w:color w:val="010000"/>
        </w:rPr>
        <w:t>Mülkün Varlığı</w:t>
      </w:r>
    </w:p>
    <w:p w:rsidR="007A2B5F" w:rsidRPr="00E23176" w:rsidRDefault="00CB14EB" w:rsidP="00E23176">
      <w:pPr>
        <w:widowControl/>
        <w:suppressAutoHyphens w:val="0"/>
        <w:spacing w:after="200"/>
        <w:ind w:left="283" w:right="283" w:firstLine="567"/>
        <w:jc w:val="both"/>
        <w:rPr>
          <w:color w:val="010000"/>
        </w:rPr>
      </w:pPr>
      <w:r w:rsidRPr="00E23176">
        <w:rPr>
          <w:color w:val="010000"/>
        </w:rPr>
        <w:lastRenderedPageBreak/>
        <w:t>56.</w:t>
      </w:r>
      <w:r w:rsidR="00E23176" w:rsidRPr="00E23176">
        <w:rPr>
          <w:color w:val="010000"/>
        </w:rPr>
        <w:t xml:space="preserve"> </w:t>
      </w:r>
      <w:r w:rsidRPr="00E23176">
        <w:rPr>
          <w:color w:val="010000"/>
        </w:rPr>
        <w:t>Anayasa'nın 35. maddesiyle güvenceye bağlanan mülkiyet hakkı, ekonomik değer ifade eden ve parayla değerlendirilebilen her türlü mal varlığı hakkını kapsamaktadır (AYM, E.2015/39, K.2015/62, 1/7/2015, § 20). Bu bağlamda mülk olarak değerlendirilmesi gerektiğinde kuşku bulunmayan menkul ve gayrimenkul mallar ile bunların üzerinde tesis edilen sınırlı ayni haklar ve fikrî hakların yanı sıra icrası kabil olan her türlü alacak da mülkiyet hakkının kapsamına dâhildir (</w:t>
      </w:r>
      <w:r w:rsidRPr="00E23176">
        <w:rPr>
          <w:i/>
          <w:iCs/>
          <w:color w:val="010000"/>
        </w:rPr>
        <w:t>Mahmut Duran ve diğerleri,</w:t>
      </w:r>
      <w:r w:rsidRPr="00E23176">
        <w:rPr>
          <w:color w:val="010000"/>
        </w:rPr>
        <w:t xml:space="preserve"> B. No: 2014/11441, 1/2/2017, § 60). Anayasa'nın 35. maddesi kapsamındaki mülkiyet hakkının ihlal edildiğini ileri süren başvurucu, böyle bir hakkın varlığını kanıtlamak zorundadır (</w:t>
      </w:r>
      <w:r w:rsidRPr="00E23176">
        <w:rPr>
          <w:i/>
          <w:iCs/>
          <w:color w:val="010000"/>
        </w:rPr>
        <w:t>Cemile Ünlü,</w:t>
      </w:r>
      <w:r w:rsidRPr="00E23176">
        <w:rPr>
          <w:color w:val="010000"/>
        </w:rPr>
        <w:t xml:space="preserve"> B. No: 2013/382, 16/4/2013, § 26).</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57.</w:t>
      </w:r>
      <w:r w:rsidR="00E23176" w:rsidRPr="00E23176">
        <w:rPr>
          <w:color w:val="010000"/>
        </w:rPr>
        <w:t xml:space="preserve"> </w:t>
      </w:r>
      <w:r w:rsidRPr="00E23176">
        <w:rPr>
          <w:color w:val="010000"/>
        </w:rPr>
        <w:t>Somut olayda kesinleşmiş mahkeme kararına istinaden başvurucuya yapılan ödemenin Anayasa'nın 35. maddesi anlamında mülk teşkil ettiği hususunda tereddüt bulunmamaktadır.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ii.</w:t>
      </w:r>
      <w:r w:rsidR="00E23176" w:rsidRPr="00E23176">
        <w:rPr>
          <w:color w:val="010000"/>
        </w:rPr>
        <w:t xml:space="preserve"> </w:t>
      </w:r>
      <w:r w:rsidRPr="00E23176">
        <w:rPr>
          <w:b/>
          <w:color w:val="010000"/>
        </w:rPr>
        <w:t>Müdahalenin Varlığı ve Türü</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58.</w:t>
      </w:r>
      <w:r w:rsidR="00E23176" w:rsidRPr="00E23176">
        <w:rPr>
          <w:color w:val="010000"/>
        </w:rPr>
        <w:t xml:space="preserve"> </w:t>
      </w:r>
      <w:r w:rsidRPr="00E23176">
        <w:rPr>
          <w:color w:val="010000"/>
        </w:rPr>
        <w:t>Anayasa’nın 35. maddesinde bir temel hak olarak güvence altına alınmış olan mülkiyet hakkı kişiye -başkasının hakkına zarar vermemek ve kanunların koyduğu sınırlamalara uymak koşuluyla- sahibi olduğu şeyi dilediği gibi kullanma ve ondan tasarruf etme, onun ürünlerinden yararlanma olanağı verir (</w:t>
      </w:r>
      <w:r w:rsidRPr="00E23176">
        <w:rPr>
          <w:i/>
          <w:iCs/>
          <w:color w:val="010000"/>
        </w:rPr>
        <w:t xml:space="preserve">Mehmet Akdoğan ve diğerleri, </w:t>
      </w:r>
      <w:r w:rsidRPr="00E23176">
        <w:rPr>
          <w:color w:val="010000"/>
        </w:rPr>
        <w:t>B. No: 2013/817, 19/12/2013, § 32). Dolayısıyla malikin mülkünü kullanma, mülkünün semerelerinden yararlanma ve mülkü üzerinde tasarruf etme yetkilerinden herhangi birinin sınırlanması mülkiyet hakkına müdahale teşkil eder (</w:t>
      </w:r>
      <w:r w:rsidRPr="00E23176">
        <w:rPr>
          <w:i/>
          <w:iCs/>
          <w:color w:val="010000"/>
        </w:rPr>
        <w:t>Recep Tarhan ve Afife Tarhan,</w:t>
      </w:r>
      <w:r w:rsidRPr="00E23176">
        <w:rPr>
          <w:color w:val="010000"/>
        </w:rPr>
        <w:t xml:space="preserve"> B. No: 2014/1546, 2/2/2017, § 53).</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59.</w:t>
      </w:r>
      <w:r w:rsidR="00E23176" w:rsidRPr="00E23176">
        <w:rPr>
          <w:color w:val="010000"/>
        </w:rPr>
        <w:t xml:space="preserve"> </w:t>
      </w:r>
      <w:r w:rsidRPr="00E23176">
        <w:rPr>
          <w:color w:val="010000"/>
        </w:rPr>
        <w:t xml:space="preserve">Anayasa’nın 35. maddesi ile mülkiyet hakkına temas eden diğer hükümleri birlikte değerlendirildiğinde Anayasa'nın mülkiyet hakkına müdahaleyle ilgili üç kural ihtiva ettiği görülmektedir. Buna göre Anayasa'nın 35. maddesinin birinci fıkrasında, herkesin mülkiyet hakkına sahip olduğu belirtilmek suretiyle </w:t>
      </w:r>
      <w:r w:rsidRPr="00E23176">
        <w:rPr>
          <w:i/>
          <w:iCs/>
          <w:color w:val="010000"/>
        </w:rPr>
        <w:t>mülkten barışçıl yararlanma hakkına y</w:t>
      </w:r>
      <w:r w:rsidRPr="00E23176">
        <w:rPr>
          <w:color w:val="010000"/>
        </w:rPr>
        <w:t xml:space="preserve">er verilmiş; ikinci fıkrasında da mülkten barışçıl yararlanma hakkına müdahalenin çerçevesi belirlenmiştir. Maddenin ikinci fıkrasında, genel olarak mülkiyet hakkının hangi koşullarda sınırlanabileceği belirlenerek aynı zamanda </w:t>
      </w:r>
      <w:r w:rsidRPr="00E23176">
        <w:rPr>
          <w:i/>
          <w:iCs/>
          <w:color w:val="010000"/>
        </w:rPr>
        <w:t>mülkten yoksun bırakmanın şartları</w:t>
      </w:r>
      <w:r w:rsidRPr="00E23176">
        <w:rPr>
          <w:color w:val="010000"/>
        </w:rPr>
        <w:t>nın genel çerçevesi de çizilmiştir. Maddenin son fıkrasında ise mülkiyet hakkının kullanımının toplum yararına aykırı olamayacağı kurala bağlanmak suretiyle devletin mülkiyetin kullanımını kontrol etmesine ve düzenlemesine imkân sağlanmıştır. Anayasa'nın diğer bazı maddelerinde de devlet tarafından mülkiyetin kontrolüne imkân tanıyan özel hükümlere yer verilmiştir. Ayrıca belirtmek gerekir ki mülkten yoksun bırakma ve mülkiyetin düzenlenmesi, mülkiyet hakkına müdahalenin özel biçimleridir (</w:t>
      </w:r>
      <w:r w:rsidRPr="00E23176">
        <w:rPr>
          <w:i/>
          <w:iCs/>
          <w:color w:val="010000"/>
        </w:rPr>
        <w:t xml:space="preserve">Recep Tarhan ve Afife Tarhan, </w:t>
      </w:r>
      <w:r w:rsidRPr="00E23176">
        <w:rPr>
          <w:color w:val="010000"/>
        </w:rPr>
        <w:t>§§ 55-58).</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60.</w:t>
      </w:r>
      <w:r w:rsidR="00E23176" w:rsidRPr="00E23176">
        <w:rPr>
          <w:color w:val="010000"/>
        </w:rPr>
        <w:t xml:space="preserve"> </w:t>
      </w:r>
      <w:r w:rsidRPr="00E23176">
        <w:rPr>
          <w:color w:val="010000"/>
        </w:rPr>
        <w:t>Başvuru konusu olay bir bütün olarak değerlendirildiğinde başvurucunun mahkeme kararıyla lehine hükmedilen tazminatı iade etmek zorunda kaldığı, dolayısıyla kesinleşmiş bir mahkeme kararının icrası kapsamında korunması gereken bir haktan yoksun bırakıldığı anlaşılmıştır. Anayasa Mahkemesi yargı kararlarının icra edilmemesi yönündeki benzer şikâyetleri mülkiyetten barışçıl yararlanma ilkesine ilişkin genel kural çerçevesinde incelemiştir (benzer yöndeki değerlendirmeler için bkz.</w:t>
      </w:r>
      <w:r w:rsidRPr="00E23176">
        <w:rPr>
          <w:i/>
          <w:iCs/>
          <w:color w:val="010000"/>
        </w:rPr>
        <w:t xml:space="preserve"> Necdet Çetinkaya,</w:t>
      </w:r>
      <w:r w:rsidRPr="00E23176">
        <w:rPr>
          <w:color w:val="010000"/>
        </w:rPr>
        <w:t xml:space="preserve"> B. No: 2013/7725, 24/3/2016, § 57). Somut olayda da bu ilkeden ayrılmayı gerektiren bir durum bulunmamaktadır.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iii.</w:t>
      </w:r>
      <w:r w:rsidR="00E23176" w:rsidRPr="00E23176">
        <w:rPr>
          <w:color w:val="010000"/>
        </w:rPr>
        <w:t xml:space="preserve"> </w:t>
      </w:r>
      <w:r w:rsidRPr="00E23176">
        <w:rPr>
          <w:b/>
          <w:color w:val="010000"/>
        </w:rPr>
        <w:t>Müdahalenin İhlal Oluşturup Oluşturmadığı</w:t>
      </w:r>
    </w:p>
    <w:p w:rsidR="007A2B5F" w:rsidRPr="00E23176" w:rsidRDefault="00E23176" w:rsidP="00E23176">
      <w:pPr>
        <w:widowControl/>
        <w:suppressAutoHyphens w:val="0"/>
        <w:spacing w:after="200"/>
        <w:ind w:left="283" w:right="283" w:firstLine="567"/>
        <w:jc w:val="both"/>
        <w:rPr>
          <w:color w:val="010000"/>
        </w:rPr>
      </w:pPr>
      <w:r w:rsidRPr="00E23176">
        <w:rPr>
          <w:b/>
          <w:color w:val="010000"/>
        </w:rPr>
        <w:t xml:space="preserve"> </w:t>
      </w:r>
      <w:r w:rsidR="00CB14EB" w:rsidRPr="00E23176">
        <w:rPr>
          <w:b/>
          <w:color w:val="010000"/>
        </w:rPr>
        <w:t>(1)</w:t>
      </w:r>
      <w:r w:rsidRPr="00E23176">
        <w:rPr>
          <w:color w:val="010000"/>
        </w:rPr>
        <w:t xml:space="preserve"> </w:t>
      </w:r>
      <w:r w:rsidR="00CB14EB" w:rsidRPr="00E23176">
        <w:rPr>
          <w:b/>
          <w:color w:val="010000"/>
        </w:rPr>
        <w:t>Genel İlkeler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61.</w:t>
      </w:r>
      <w:r w:rsidR="00E23176" w:rsidRPr="00E23176">
        <w:rPr>
          <w:color w:val="010000"/>
        </w:rPr>
        <w:t xml:space="preserve"> </w:t>
      </w:r>
      <w:r w:rsidRPr="00E23176">
        <w:rPr>
          <w:color w:val="010000"/>
        </w:rPr>
        <w:t>Anayasa’nın 13. maddesi şöyledir:</w:t>
      </w:r>
    </w:p>
    <w:p w:rsidR="007A2B5F" w:rsidRPr="00E23176" w:rsidRDefault="00CB14EB" w:rsidP="00E23176">
      <w:pPr>
        <w:widowControl/>
        <w:suppressAutoHyphens w:val="0"/>
        <w:spacing w:after="200"/>
        <w:ind w:left="283" w:right="283" w:firstLine="567"/>
        <w:jc w:val="both"/>
        <w:rPr>
          <w:color w:val="010000"/>
        </w:rPr>
      </w:pPr>
      <w:r w:rsidRPr="00E23176">
        <w:rPr>
          <w:color w:val="010000"/>
          <w:sz w:val="22"/>
        </w:rPr>
        <w:lastRenderedPageBreak/>
        <w:t>''</w:t>
      </w:r>
      <w:r w:rsidRPr="00E23176">
        <w:rPr>
          <w:i/>
          <w:iCs/>
          <w:color w:val="010000"/>
          <w:sz w:val="22"/>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62.</w:t>
      </w:r>
      <w:r w:rsidR="00E23176" w:rsidRPr="00E23176">
        <w:rPr>
          <w:color w:val="010000"/>
        </w:rPr>
        <w:t xml:space="preserve"> </w:t>
      </w:r>
      <w:r w:rsidRPr="00E23176">
        <w:rPr>
          <w:color w:val="010000"/>
        </w:rPr>
        <w:t xml:space="preserve">Anayasa’nın 35. maddesinde mülkiyet hakkı sınırsız bir hak olarak düzenlenmemiş, bu hakkın kamu yararı amacıyla ve kanunla sınırlandırılabileceği öngörülmüştür. Mülkiyet hakkına müdahalede bulunulurken temel hak ve özgürlüklerin sınırlandırılmasına ilişkin genel ilkeleri düzenleyen Anayasa'nın 13. maddesinin de </w:t>
      </w:r>
      <w:proofErr w:type="spellStart"/>
      <w:r w:rsidRPr="00E23176">
        <w:rPr>
          <w:color w:val="010000"/>
        </w:rPr>
        <w:t>gözönünde</w:t>
      </w:r>
      <w:proofErr w:type="spellEnd"/>
      <w:r w:rsidRPr="00E23176">
        <w:rPr>
          <w:color w:val="010000"/>
        </w:rPr>
        <w:t xml:space="preserve"> bulundurulması gerekmektedir. Dolayısıyla mülkiyet hakkına yönelik müdahalenin Anayasa'ya uygun olabilmesi için müdahalenin kanuna dayanması, kamu yararı amacı taşıması ve ayrıca ölçülülük ilkesi gözetilerek yapılması gerekmektedir (</w:t>
      </w:r>
      <w:r w:rsidRPr="00E23176">
        <w:rPr>
          <w:i/>
          <w:iCs/>
          <w:color w:val="010000"/>
        </w:rPr>
        <w:t>Recep Tarhan ve Afife Tarhan,</w:t>
      </w:r>
      <w:r w:rsidRPr="00E23176">
        <w:rPr>
          <w:color w:val="010000"/>
        </w:rPr>
        <w:t xml:space="preserve"> § 62).</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63.</w:t>
      </w:r>
      <w:r w:rsidR="00E23176" w:rsidRPr="00E23176">
        <w:rPr>
          <w:color w:val="010000"/>
        </w:rPr>
        <w:t xml:space="preserve"> </w:t>
      </w:r>
      <w:r w:rsidRPr="00E23176">
        <w:rPr>
          <w:color w:val="010000"/>
        </w:rPr>
        <w:t>Anayasa Mahkemesi mülkiyet hakkına yönelik nihai bir yargı kararının uygulanmamasının ihlale yol açtığını daha önce çeşitli kararlarında kabul etmiştir. Buna göre ilgili mahkeme kararını uygulamakla görevli kamu makamları, bu kararın uygulanmasını engellemekte ya da kararın uygulanması için gerekli özeni göstermemekteyse bu durumun Anayasa'nın 35. maddesinin ihlali anlamına geldiği sonucuna yol açtığını vurgulamıştır (</w:t>
      </w:r>
      <w:r w:rsidRPr="00E23176">
        <w:rPr>
          <w:i/>
          <w:iCs/>
          <w:color w:val="010000"/>
        </w:rPr>
        <w:t>Kenan Yıldırım ve Turan Yıldırım,</w:t>
      </w:r>
      <w:r w:rsidRPr="00E23176">
        <w:rPr>
          <w:color w:val="010000"/>
        </w:rPr>
        <w:t xml:space="preserve"> B. No: 2013/711, 3/4/2014, §§ 55-75;</w:t>
      </w:r>
      <w:r w:rsidRPr="00E23176">
        <w:rPr>
          <w:i/>
          <w:iCs/>
          <w:color w:val="010000"/>
        </w:rPr>
        <w:t xml:space="preserve"> Mehmet Hocaoğlu,</w:t>
      </w:r>
      <w:r w:rsidRPr="00E23176">
        <w:rPr>
          <w:color w:val="010000"/>
        </w:rPr>
        <w:t xml:space="preserve"> B. No: 2013/3207, 15/10/2015, §§ 59-74).</w:t>
      </w:r>
    </w:p>
    <w:p w:rsidR="007A2B5F" w:rsidRPr="00E23176" w:rsidRDefault="00E23176" w:rsidP="00E23176">
      <w:pPr>
        <w:widowControl/>
        <w:suppressAutoHyphens w:val="0"/>
        <w:spacing w:after="200"/>
        <w:ind w:left="283" w:right="283" w:firstLine="567"/>
        <w:jc w:val="both"/>
        <w:rPr>
          <w:color w:val="010000"/>
        </w:rPr>
      </w:pPr>
      <w:r w:rsidRPr="00E23176">
        <w:rPr>
          <w:b/>
          <w:color w:val="010000"/>
        </w:rPr>
        <w:t xml:space="preserve"> </w:t>
      </w:r>
      <w:r w:rsidR="00CB14EB" w:rsidRPr="00E23176">
        <w:rPr>
          <w:b/>
          <w:color w:val="010000"/>
        </w:rPr>
        <w:t>(2)</w:t>
      </w:r>
      <w:r w:rsidRPr="00E23176">
        <w:rPr>
          <w:color w:val="010000"/>
        </w:rPr>
        <w:t xml:space="preserve"> </w:t>
      </w:r>
      <w:r w:rsidR="00CB14EB" w:rsidRPr="00E23176">
        <w:rPr>
          <w:b/>
          <w:color w:val="010000"/>
        </w:rPr>
        <w:t>İlkelerin Olaya Uygulanması</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64.</w:t>
      </w:r>
      <w:r w:rsidR="00E23176" w:rsidRPr="00E23176">
        <w:rPr>
          <w:color w:val="010000"/>
        </w:rPr>
        <w:t xml:space="preserve"> </w:t>
      </w:r>
      <w:r w:rsidRPr="00E23176">
        <w:rPr>
          <w:color w:val="010000"/>
        </w:rPr>
        <w:t>Somut olayda başvurucunun işe iade ve tazminat talebiyle açtığı davanın istinaf incelemesi sırasında istinaf mahkemesi; önceki kararı kaldırarak davanın kabulüne, başvurucunun işe iadesine başvurucunun yasal süre içinde başvurusuna rağmen davalı işverence süresi içinde işe başlatılmaması hâlinde ödenmesi gereken tazminat miktarının davacının kıdemi dikkate alınarak 11.844,20 Amerikan doları olarak belirlenmesine, bu miktarın davalıdan tahsili gerektiğinin tespitine kesin olarak karar vermiştir.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65.</w:t>
      </w:r>
      <w:r w:rsidR="00E23176" w:rsidRPr="00E23176">
        <w:rPr>
          <w:color w:val="010000"/>
        </w:rPr>
        <w:t xml:space="preserve"> </w:t>
      </w:r>
      <w:r w:rsidRPr="00E23176">
        <w:rPr>
          <w:color w:val="010000"/>
        </w:rPr>
        <w:t>İstinaf mahkemesi daha sonra davalının maddi hata düzeltme dilekçesini kabul etmiş, kesin olan kararı kaldırarak davanın reddine karar vermek suretiyle başvurucunun kesin mahkeme kararı ile elde ettiği tazminatın iadesi zorunluluğu ortaya çıkmıştır.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66.</w:t>
      </w:r>
      <w:r w:rsidR="00E23176" w:rsidRPr="00E23176">
        <w:rPr>
          <w:color w:val="010000"/>
        </w:rPr>
        <w:t xml:space="preserve"> </w:t>
      </w:r>
      <w:r w:rsidRPr="00E23176">
        <w:rPr>
          <w:color w:val="010000"/>
        </w:rPr>
        <w:t>Söz konusu kesinleşmiş yargı kararının sonuçları itibarıyla davanın tüm taraflarını ve yargı mercilerini bağladığı kuşkusuzdur. Uyulması beklenen kararın adalet ve hakkaniyet ilkelerine açıkça aykırı verildiği ortaya konulmamıştır. Sonuç olarak</w:t>
      </w:r>
      <w:r w:rsidR="00E23176">
        <w:rPr>
          <w:color w:val="010000"/>
        </w:rPr>
        <w:t xml:space="preserve"> </w:t>
      </w:r>
      <w:r w:rsidRPr="00E23176">
        <w:rPr>
          <w:color w:val="010000"/>
        </w:rPr>
        <w:t xml:space="preserve">kesinleşmiş yargı kararına müdahale edilerek başvurucunun işe iade ve tazminat talebine ilişkin davanın reddine karar verilmiştir. Bu itibarla kanunda dayanağı bulunmayan bir uygulamayla, kesinleşmiş mahkeme kararı uyarınca ödenmesi gereken tazminata ilişkin kesin hüküm ortadan kaldırılarak davanın reddine karar verilmesi şeklindeki müdahalenin kanunilik unsurundan yoksun olduğu kanaatine varılmıştır (benzer yönde bkz. </w:t>
      </w:r>
      <w:r w:rsidRPr="00E23176">
        <w:rPr>
          <w:i/>
          <w:iCs/>
          <w:color w:val="010000"/>
        </w:rPr>
        <w:t xml:space="preserve">Mustafa Altın, </w:t>
      </w:r>
      <w:r w:rsidRPr="00E23176">
        <w:rPr>
          <w:color w:val="010000"/>
        </w:rPr>
        <w:t>§§ 85-87).</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67.</w:t>
      </w:r>
      <w:r w:rsidR="00E23176" w:rsidRPr="00E23176">
        <w:rPr>
          <w:color w:val="010000"/>
        </w:rPr>
        <w:t xml:space="preserve"> </w:t>
      </w:r>
      <w:r w:rsidRPr="00E23176">
        <w:rPr>
          <w:color w:val="010000"/>
        </w:rPr>
        <w:t>Açıklanan gerekçelerle Anayasa'nın 35. maddesinde güvence altına alınan mülkiyet hakkının ihlal edildiğine karar verilmesi gerekir.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C.</w:t>
      </w:r>
      <w:r w:rsidR="00E23176" w:rsidRPr="00E23176">
        <w:rPr>
          <w:color w:val="010000"/>
        </w:rPr>
        <w:t xml:space="preserve"> </w:t>
      </w:r>
      <w:r w:rsidRPr="00E23176">
        <w:rPr>
          <w:b/>
          <w:color w:val="010000"/>
        </w:rPr>
        <w:t>6216 Sayılı Kanun'un 50. Maddesi Yönünden</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68.</w:t>
      </w:r>
      <w:r w:rsidR="00E23176" w:rsidRPr="00E23176">
        <w:rPr>
          <w:color w:val="010000"/>
        </w:rPr>
        <w:t xml:space="preserve"> </w:t>
      </w:r>
      <w:r w:rsidRPr="00E23176">
        <w:rPr>
          <w:color w:val="010000"/>
        </w:rPr>
        <w:t>Başvurucu, ihlalin tespiti ile yeniden yargılama, bu talebi kabul görmediği takdirde tazminat talebinde bulunmuştur. Tespit edilen ihlalin ve sonuçlarının ortadan kaldırılmasına ilişkin usul ve esaslar 30/3/2011 tarihli ve 6216 sayılı Anayasa Mahkemesinin Kuruluşu ve Yargılama Usulleri Hakkında Kanun'un 50. maddesinde yer almaktadır.</w:t>
      </w:r>
    </w:p>
    <w:p w:rsidR="007A2B5F" w:rsidRPr="00E23176" w:rsidRDefault="00CB14EB" w:rsidP="00E23176">
      <w:pPr>
        <w:widowControl/>
        <w:suppressAutoHyphens w:val="0"/>
        <w:spacing w:after="200"/>
        <w:ind w:left="283" w:right="283" w:firstLine="567"/>
        <w:jc w:val="both"/>
        <w:rPr>
          <w:color w:val="010000"/>
        </w:rPr>
      </w:pPr>
      <w:r w:rsidRPr="00E23176">
        <w:rPr>
          <w:color w:val="010000"/>
        </w:rPr>
        <w:lastRenderedPageBreak/>
        <w:t>69.</w:t>
      </w:r>
      <w:r w:rsidR="00E23176" w:rsidRPr="00E23176">
        <w:rPr>
          <w:color w:val="010000"/>
        </w:rPr>
        <w:t xml:space="preserve"> </w:t>
      </w:r>
      <w:r w:rsidRPr="00E23176">
        <w:rPr>
          <w:color w:val="010000"/>
        </w:rPr>
        <w:t xml:space="preserve">Başvuruda tespit edilen adil yargılanma hakkı ve mülkiyet hakkının ihlalinin sonuçlarının ortadan kaldırılması için yeniden yargılama yapılmasında hukuki yarar bulunmaktadır. Bu kapsamda kararın gönderildiği yargı mercilerince yapılması gereken iş, yeniden yargılama işlemlerini başlatmak ve Anayasa Mahkemesini ihlal sonucuna ulaştıran nedenleri gideren, ihlal kararında belirtilen ilkelere uygun yeni bir karar vermektir (6216 sayılı Kanun'un 50. maddesinin (2) numaralı fıkrasında düzenlenen bireysel başvuruya özgü yeniden yargılama kurumunun özelliklerine ilişkin kapsamlı açıklamalar için bkz. </w:t>
      </w:r>
      <w:r w:rsidRPr="00E23176">
        <w:rPr>
          <w:i/>
          <w:iCs/>
          <w:color w:val="010000"/>
        </w:rPr>
        <w:t>Mehmet Doğan</w:t>
      </w:r>
      <w:r w:rsidRPr="00E23176">
        <w:rPr>
          <w:color w:val="010000"/>
        </w:rPr>
        <w:t xml:space="preserve"> [GK], B. No: 2014/8875, 7/6/2018, §§ 54-60; </w:t>
      </w:r>
      <w:proofErr w:type="spellStart"/>
      <w:r w:rsidRPr="00E23176">
        <w:rPr>
          <w:i/>
          <w:iCs/>
          <w:color w:val="010000"/>
        </w:rPr>
        <w:t>Aligül</w:t>
      </w:r>
      <w:proofErr w:type="spellEnd"/>
      <w:r w:rsidRPr="00E23176">
        <w:rPr>
          <w:i/>
          <w:iCs/>
          <w:color w:val="010000"/>
        </w:rPr>
        <w:t xml:space="preserve"> Alkaya ve diğerleri</w:t>
      </w:r>
      <w:r w:rsidRPr="00E23176">
        <w:rPr>
          <w:color w:val="010000"/>
        </w:rPr>
        <w:t xml:space="preserve"> (2), B. No: 2016/12506, 7/11/2019, §§ 53-60, 66;</w:t>
      </w:r>
      <w:r w:rsidRPr="00E23176">
        <w:rPr>
          <w:i/>
          <w:iCs/>
          <w:color w:val="010000"/>
        </w:rPr>
        <w:t xml:space="preserve"> Kadri Enis Berberoğlu</w:t>
      </w:r>
      <w:r w:rsidRPr="00E23176">
        <w:rPr>
          <w:color w:val="010000"/>
        </w:rPr>
        <w:t xml:space="preserve"> (3) [GK], B. No: 2020/32949, 21/1/2021, §§ 93-100). Öte yandan başvurucunun talebinin </w:t>
      </w:r>
      <w:proofErr w:type="spellStart"/>
      <w:r w:rsidRPr="00E23176">
        <w:rPr>
          <w:color w:val="010000"/>
        </w:rPr>
        <w:t>terditli</w:t>
      </w:r>
      <w:proofErr w:type="spellEnd"/>
      <w:r w:rsidRPr="00E23176">
        <w:rPr>
          <w:color w:val="010000"/>
        </w:rPr>
        <w:t xml:space="preserve"> olması nedeniyle yeniden yargılama kararı verildiğinden maddi tazminat konusunda karar verilmesi gerekmemektedir.</w:t>
      </w:r>
    </w:p>
    <w:p w:rsidR="007A2B5F" w:rsidRPr="00E23176" w:rsidRDefault="00CB14EB" w:rsidP="00E23176">
      <w:pPr>
        <w:widowControl/>
        <w:suppressAutoHyphens w:val="0"/>
        <w:spacing w:after="200"/>
        <w:ind w:left="283" w:right="283" w:firstLine="567"/>
        <w:jc w:val="both"/>
        <w:rPr>
          <w:color w:val="010000"/>
        </w:rPr>
      </w:pPr>
      <w:r w:rsidRPr="00E23176">
        <w:rPr>
          <w:b/>
          <w:color w:val="010000"/>
        </w:rPr>
        <w:t>VI.</w:t>
      </w:r>
      <w:r w:rsidR="00E23176" w:rsidRPr="00E23176">
        <w:rPr>
          <w:color w:val="010000"/>
        </w:rPr>
        <w:t xml:space="preserve"> </w:t>
      </w:r>
      <w:r w:rsidRPr="00E23176">
        <w:rPr>
          <w:b/>
          <w:color w:val="010000"/>
        </w:rPr>
        <w:t>HÜKÜM</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Açıklanan gerekçelerle;</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A.</w:t>
      </w:r>
      <w:r w:rsidR="00E23176" w:rsidRPr="00E23176">
        <w:rPr>
          <w:color w:val="010000"/>
        </w:rPr>
        <w:t xml:space="preserve"> </w:t>
      </w:r>
      <w:r w:rsidRPr="00E23176">
        <w:rPr>
          <w:color w:val="010000"/>
        </w:rPr>
        <w:t>1. Adil yargılanma hakkının ihlal edildiğine ilişkin iddianın KABUL EDİLEBİLİR OLDUĞUNA,</w:t>
      </w:r>
    </w:p>
    <w:p w:rsidR="007A2B5F" w:rsidRPr="00E23176" w:rsidRDefault="00CB14EB" w:rsidP="00E23176">
      <w:pPr>
        <w:widowControl/>
        <w:suppressAutoHyphens w:val="0"/>
        <w:spacing w:after="200"/>
        <w:ind w:left="283" w:right="283" w:firstLine="850"/>
        <w:jc w:val="both"/>
        <w:rPr>
          <w:color w:val="010000"/>
        </w:rPr>
      </w:pPr>
      <w:r w:rsidRPr="00E23176">
        <w:rPr>
          <w:color w:val="010000"/>
        </w:rPr>
        <w:t>2. Mülkiyet hakkının ihlal edildiğine ilişkin iddianın KABUL EDİLEBİLİR OLDUĞUNA,</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B.</w:t>
      </w:r>
      <w:r w:rsidR="00E23176" w:rsidRPr="00E23176">
        <w:rPr>
          <w:color w:val="010000"/>
        </w:rPr>
        <w:t xml:space="preserve"> </w:t>
      </w:r>
      <w:r w:rsidRPr="00E23176">
        <w:rPr>
          <w:color w:val="010000"/>
        </w:rPr>
        <w:t>1. Anayasa’nın 36. maddesinde güvence altına alınan adil yargılanma hakkının İHLAL EDİLDİĞİNE,</w:t>
      </w:r>
    </w:p>
    <w:p w:rsidR="007A2B5F" w:rsidRPr="00E23176" w:rsidRDefault="00CB14EB" w:rsidP="00E23176">
      <w:pPr>
        <w:widowControl/>
        <w:suppressAutoHyphens w:val="0"/>
        <w:spacing w:after="200"/>
        <w:ind w:left="283" w:right="283" w:firstLine="850"/>
        <w:jc w:val="both"/>
        <w:rPr>
          <w:color w:val="010000"/>
        </w:rPr>
      </w:pPr>
      <w:r w:rsidRPr="00E23176">
        <w:rPr>
          <w:color w:val="010000"/>
        </w:rPr>
        <w:t>2. Anayas</w:t>
      </w:r>
      <w:bookmarkStart w:id="0" w:name="_GoBack"/>
      <w:bookmarkEnd w:id="0"/>
      <w:r w:rsidRPr="00E23176">
        <w:rPr>
          <w:color w:val="010000"/>
        </w:rPr>
        <w:t>a’nın 35. maddesinde güvence altına alınan mülkiyet hakkının İHLAL EDİLDİĞİNE,</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C.</w:t>
      </w:r>
      <w:r w:rsidR="00E23176" w:rsidRPr="00E23176">
        <w:rPr>
          <w:color w:val="010000"/>
        </w:rPr>
        <w:t xml:space="preserve"> </w:t>
      </w:r>
      <w:r w:rsidRPr="00E23176">
        <w:rPr>
          <w:color w:val="010000"/>
        </w:rPr>
        <w:t>Kararın bir örneğinin adil yargılanma hakkı ve mülkiyet hakkının ihlalinin sonuçlarının ortadan kaldırılması için yeniden yargılama yapılmak amacıyla Ankara Bölge Adliye Mahkemesi 8. Hukuk Dairesine (E.2019/1984, K2019/2855) iletilmek üzere Ankara 39. İş Mahkemesine (E.2018/236, K.2019/57) GÖNDERİLMESİNE,</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D.</w:t>
      </w:r>
      <w:r w:rsidR="00E23176" w:rsidRPr="00E23176">
        <w:rPr>
          <w:color w:val="010000"/>
        </w:rPr>
        <w:t xml:space="preserve"> </w:t>
      </w:r>
      <w:r w:rsidRPr="00E23176">
        <w:rPr>
          <w:color w:val="010000"/>
        </w:rPr>
        <w:t>446,90 TL harç ve 18.800 TL vekâlet ücretinden oluşan toplam 19.246,90 TL yargılama giderinin başvurucuya ÖDENMESİNE,</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E.</w:t>
      </w:r>
      <w:r w:rsidR="00E23176" w:rsidRPr="00E23176">
        <w:rPr>
          <w:color w:val="010000"/>
        </w:rPr>
        <w:t xml:space="preserve"> </w:t>
      </w:r>
      <w:r w:rsidRPr="00E23176">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7A2B5F" w:rsidRPr="00E23176" w:rsidRDefault="00CB14EB" w:rsidP="00E23176">
      <w:pPr>
        <w:widowControl/>
        <w:suppressAutoHyphens w:val="0"/>
        <w:spacing w:after="200"/>
        <w:ind w:left="283" w:right="283" w:firstLine="567"/>
        <w:jc w:val="both"/>
        <w:rPr>
          <w:color w:val="010000"/>
        </w:rPr>
      </w:pPr>
      <w:r w:rsidRPr="00E23176">
        <w:rPr>
          <w:color w:val="010000"/>
        </w:rPr>
        <w:t>F.</w:t>
      </w:r>
      <w:r w:rsidR="00E23176" w:rsidRPr="00E23176">
        <w:rPr>
          <w:color w:val="010000"/>
        </w:rPr>
        <w:t xml:space="preserve"> </w:t>
      </w:r>
      <w:r w:rsidRPr="00E23176">
        <w:rPr>
          <w:color w:val="010000"/>
        </w:rPr>
        <w:t>Kararın bir örneğinin Adalet Bakanlığına GÖNDERİLMESİNE 19/10/2023 tarihinde OYBİRLİĞİYLE karar verildi.</w:t>
      </w:r>
      <w:r w:rsidR="00E23176" w:rsidRPr="00E23176">
        <w:rPr>
          <w:color w:val="010000"/>
        </w:rPr>
        <w:t xml:space="preserve"> </w:t>
      </w:r>
    </w:p>
    <w:sectPr w:rsidR="007A2B5F" w:rsidRPr="00E23176" w:rsidSect="00E23176">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14EB" w:rsidRDefault="00CB14EB">
      <w:r>
        <w:separator/>
      </w:r>
    </w:p>
  </w:endnote>
  <w:endnote w:type="continuationSeparator" w:id="0">
    <w:p w:rsidR="00CB14EB" w:rsidRDefault="00CB14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2B5F" w:rsidRDefault="00CB14EB">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13</w:t>
    </w:r>
    <w:r>
      <w:rPr>
        <w:color w:val="000000"/>
        <w:sz w:val="22"/>
      </w:rPr>
      <w:fldChar w:fldCharType="end"/>
    </w:r>
  </w:p>
  <w:p w:rsidR="007A2B5F" w:rsidRDefault="007A2B5F">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14EB" w:rsidRDefault="00CB14EB">
      <w:r>
        <w:separator/>
      </w:r>
    </w:p>
  </w:footnote>
  <w:footnote w:type="continuationSeparator" w:id="0">
    <w:p w:rsidR="00CB14EB" w:rsidRDefault="00CB14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2B5F" w:rsidRDefault="00CB14EB">
    <w:pPr>
      <w:pStyle w:val="stBilgi"/>
      <w:tabs>
        <w:tab w:val="left" w:pos="2020"/>
      </w:tabs>
      <w:spacing w:line="288" w:lineRule="exact"/>
    </w:pPr>
    <w:r>
      <w:t>Başvuru Numarası</w:t>
    </w:r>
    <w:r>
      <w:tab/>
      <w:t>: 2020/21325</w:t>
    </w:r>
  </w:p>
  <w:p w:rsidR="007A2B5F" w:rsidRDefault="00CB14EB" w:rsidP="00E23176">
    <w:pPr>
      <w:pStyle w:val="stBilgi"/>
      <w:tabs>
        <w:tab w:val="left" w:pos="2020"/>
      </w:tabs>
      <w:spacing w:line="288" w:lineRule="exact"/>
    </w:pPr>
    <w:r>
      <w:t>Karar Tarihi</w:t>
    </w:r>
    <w:r>
      <w:tab/>
      <w:t xml:space="preserve">: 19/10/2023 </w:t>
    </w:r>
  </w:p>
  <w:p w:rsidR="00E23176" w:rsidRDefault="00E23176" w:rsidP="00E23176">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65A2"/>
    <w:rsid w:val="007A2B5F"/>
    <w:rsid w:val="00C465A2"/>
    <w:rsid w:val="00CB14EB"/>
    <w:rsid w:val="00E2317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D6AAB09"/>
  <w15:chartTrackingRefBased/>
  <w15:docId w15:val="{8955480E-A4D8-4E57-B287-57E3297B0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35132244821">
    <w:name w:val="edf_1435132244821"/>
    <w:pPr>
      <w:widowControl w:val="0"/>
      <w:suppressAutoHyphens/>
    </w:pPr>
    <w:rPr>
      <w:rFonts w:eastAsia="Andale Sans UI" w:cs="Tahoma"/>
      <w:kern w:val="1"/>
      <w:sz w:val="24"/>
      <w:szCs w:val="24"/>
      <w:lang w:eastAsia="fa-IR" w:bidi="fa-IR"/>
    </w:rPr>
  </w:style>
  <w:style w:type="paragraph" w:customStyle="1" w:styleId="edf1416837673378">
    <w:name w:val="edf_1416837673378"/>
    <w:pPr>
      <w:widowControl w:val="0"/>
      <w:suppressAutoHyphens/>
    </w:pPr>
    <w:rPr>
      <w:rFonts w:eastAsia="Andale Sans UI" w:cs="Tahoma"/>
      <w:kern w:val="1"/>
      <w:sz w:val="24"/>
      <w:szCs w:val="24"/>
      <w:lang w:eastAsia="fa-IR" w:bidi="fa-IR"/>
    </w:rPr>
  </w:style>
  <w:style w:type="paragraph" w:customStyle="1" w:styleId="edf1449963726385">
    <w:name w:val="edf_144996372638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36343557589">
    <w:name w:val="edf_1436343557589"/>
    <w:pPr>
      <w:widowControl w:val="0"/>
      <w:suppressAutoHyphens/>
    </w:pPr>
    <w:rPr>
      <w:rFonts w:eastAsia="Andale Sans UI" w:cs="Tahoma"/>
      <w:kern w:val="1"/>
      <w:sz w:val="24"/>
      <w:szCs w:val="24"/>
      <w:lang w:eastAsia="fa-IR" w:bidi="fa-IR"/>
    </w:rPr>
  </w:style>
  <w:style w:type="paragraph" w:customStyle="1" w:styleId="edf1537968243199">
    <w:name w:val="edf_1537968243199"/>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594031912134">
    <w:name w:val="edf_1594031912134"/>
    <w:pPr>
      <w:widowControl w:val="0"/>
      <w:suppressAutoHyphens/>
    </w:pPr>
    <w:rPr>
      <w:rFonts w:eastAsia="Andale Sans UI" w:cs="Tahoma"/>
      <w:kern w:val="1"/>
      <w:sz w:val="24"/>
      <w:szCs w:val="24"/>
      <w:lang w:eastAsia="fa-IR" w:bidi="fa-IR"/>
    </w:rPr>
  </w:style>
  <w:style w:type="paragraph" w:customStyle="1" w:styleId="edf1478602868050">
    <w:name w:val="edf_1478602868050"/>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15366171642">
    <w:name w:val="edf_1415366171642"/>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576155909240">
    <w:name w:val="edf_1576155909240"/>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12</Pages>
  <Words>5008</Words>
  <Characters>28546</Characters>
  <Application>Microsoft Office Word</Application>
  <DocSecurity>0</DocSecurity>
  <Lines>237</Lines>
  <Paragraphs>66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33488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1899-12-31T21:00:00Z</cp:lastPrinted>
  <dcterms:created xsi:type="dcterms:W3CDTF">2023-11-16T07:27:00Z</dcterms:created>
  <dcterms:modified xsi:type="dcterms:W3CDTF">2023-11-26T19:59:00Z</dcterms:modified>
</cp:coreProperties>
</file>