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AE2806" w:rsidRDefault="00AE2806" w:rsidP="00AE2806">
      <w:pPr>
        <w:widowControl/>
        <w:suppressAutoHyphens w:val="0"/>
        <w:spacing w:after="200"/>
        <w:ind w:left="283" w:right="283" w:firstLine="709"/>
        <w:jc w:val="both"/>
        <w:rPr>
          <w:b/>
          <w:color w:val="010000"/>
          <w:sz w:val="28"/>
        </w:rPr>
      </w:pPr>
    </w:p>
    <w:p w:rsidR="00AE2806" w:rsidRDefault="00AE2806" w:rsidP="00AE2806">
      <w:pPr>
        <w:widowControl/>
        <w:suppressAutoHyphens w:val="0"/>
        <w:spacing w:after="200"/>
        <w:ind w:left="283" w:right="283" w:firstLine="709"/>
        <w:jc w:val="both"/>
        <w:rPr>
          <w:b/>
          <w:color w:val="010000"/>
          <w:sz w:val="28"/>
        </w:rPr>
      </w:pPr>
    </w:p>
    <w:p w:rsidR="00AE2806" w:rsidRDefault="00AE2806" w:rsidP="00AE2806">
      <w:pPr>
        <w:widowControl/>
        <w:suppressAutoHyphens w:val="0"/>
        <w:spacing w:after="200"/>
        <w:ind w:left="283" w:right="283" w:firstLine="709"/>
        <w:jc w:val="both"/>
        <w:rPr>
          <w:b/>
          <w:color w:val="010000"/>
          <w:sz w:val="28"/>
        </w:rPr>
      </w:pPr>
    </w:p>
    <w:p w:rsidR="00AE2806" w:rsidRDefault="00AE2806" w:rsidP="00AE2806">
      <w:pPr>
        <w:widowControl/>
        <w:suppressAutoHyphens w:val="0"/>
        <w:spacing w:after="200"/>
        <w:ind w:left="283" w:right="283" w:firstLine="709"/>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AE2806" w:rsidRPr="00AE2806" w:rsidTr="00AE2806">
        <w:tblPrEx>
          <w:tblCellMar>
            <w:top w:w="0" w:type="dxa"/>
            <w:bottom w:w="0" w:type="dxa"/>
          </w:tblCellMar>
        </w:tblPrEx>
        <w:trPr>
          <w:trHeight w:val="500"/>
          <w:jc w:val="center"/>
        </w:trPr>
        <w:tc>
          <w:tcPr>
            <w:tcW w:w="9072" w:type="dxa"/>
            <w:vAlign w:val="center"/>
          </w:tcPr>
          <w:p w:rsidR="00AE2806" w:rsidRPr="00AE2806" w:rsidRDefault="00AE2806" w:rsidP="00AE2806">
            <w:pPr>
              <w:widowControl/>
              <w:suppressAutoHyphens w:val="0"/>
              <w:spacing w:after="200"/>
              <w:ind w:right="283"/>
              <w:jc w:val="center"/>
              <w:rPr>
                <w:b/>
                <w:color w:val="010000"/>
                <w:sz w:val="28"/>
              </w:rPr>
            </w:pPr>
            <w:r>
              <w:rPr>
                <w:b/>
                <w:color w:val="010000"/>
                <w:sz w:val="28"/>
              </w:rPr>
              <w:t>TÜRKİYE CUMHURİYETİ</w:t>
            </w:r>
          </w:p>
        </w:tc>
      </w:tr>
      <w:tr w:rsidR="00AE2806" w:rsidRPr="00AE2806" w:rsidTr="00AE2806">
        <w:tblPrEx>
          <w:tblCellMar>
            <w:top w:w="0" w:type="dxa"/>
            <w:bottom w:w="0" w:type="dxa"/>
          </w:tblCellMar>
        </w:tblPrEx>
        <w:trPr>
          <w:trHeight w:val="500"/>
          <w:jc w:val="center"/>
        </w:trPr>
        <w:tc>
          <w:tcPr>
            <w:tcW w:w="9072" w:type="dxa"/>
            <w:vAlign w:val="center"/>
          </w:tcPr>
          <w:p w:rsidR="00AE2806" w:rsidRPr="00AE2806" w:rsidRDefault="00AE2806" w:rsidP="00AE2806">
            <w:pPr>
              <w:widowControl/>
              <w:suppressAutoHyphens w:val="0"/>
              <w:spacing w:after="200"/>
              <w:ind w:right="283"/>
              <w:jc w:val="center"/>
              <w:rPr>
                <w:b/>
                <w:color w:val="010000"/>
                <w:sz w:val="32"/>
              </w:rPr>
            </w:pPr>
            <w:r>
              <w:rPr>
                <w:b/>
                <w:color w:val="010000"/>
                <w:sz w:val="32"/>
              </w:rPr>
              <w:t>ANAYASA MAHKEMESİ</w:t>
            </w:r>
          </w:p>
        </w:tc>
      </w:tr>
      <w:tr w:rsidR="00AE2806" w:rsidRPr="00AE2806" w:rsidTr="00AE2806">
        <w:tblPrEx>
          <w:tblCellMar>
            <w:top w:w="0" w:type="dxa"/>
            <w:bottom w:w="0" w:type="dxa"/>
          </w:tblCellMar>
        </w:tblPrEx>
        <w:trPr>
          <w:trHeight w:val="500"/>
          <w:jc w:val="center"/>
        </w:trPr>
        <w:tc>
          <w:tcPr>
            <w:tcW w:w="9072" w:type="dxa"/>
            <w:vAlign w:val="center"/>
          </w:tcPr>
          <w:p w:rsidR="00AE2806" w:rsidRPr="00AE2806" w:rsidRDefault="00AE2806" w:rsidP="00AE2806">
            <w:pPr>
              <w:widowControl/>
              <w:suppressAutoHyphens w:val="0"/>
              <w:spacing w:after="200"/>
              <w:ind w:right="283"/>
              <w:jc w:val="center"/>
              <w:rPr>
                <w:b/>
                <w:color w:val="010000"/>
              </w:rPr>
            </w:pPr>
          </w:p>
        </w:tc>
      </w:tr>
      <w:tr w:rsidR="00AE2806" w:rsidRPr="00AE2806" w:rsidTr="00AE2806">
        <w:tblPrEx>
          <w:tblCellMar>
            <w:top w:w="0" w:type="dxa"/>
            <w:bottom w:w="0" w:type="dxa"/>
          </w:tblCellMar>
        </w:tblPrEx>
        <w:trPr>
          <w:trHeight w:val="500"/>
          <w:jc w:val="center"/>
        </w:trPr>
        <w:tc>
          <w:tcPr>
            <w:tcW w:w="9072" w:type="dxa"/>
            <w:vAlign w:val="center"/>
          </w:tcPr>
          <w:p w:rsidR="00AE2806" w:rsidRPr="00AE2806" w:rsidRDefault="00AE2806" w:rsidP="00AE2806">
            <w:pPr>
              <w:widowControl/>
              <w:suppressAutoHyphens w:val="0"/>
              <w:spacing w:after="200"/>
              <w:ind w:right="283"/>
              <w:jc w:val="center"/>
              <w:rPr>
                <w:b/>
                <w:color w:val="010000"/>
              </w:rPr>
            </w:pPr>
          </w:p>
        </w:tc>
      </w:tr>
      <w:tr w:rsidR="00AE2806" w:rsidRPr="00AE2806" w:rsidTr="00AE2806">
        <w:tblPrEx>
          <w:tblCellMar>
            <w:top w:w="0" w:type="dxa"/>
            <w:bottom w:w="0" w:type="dxa"/>
          </w:tblCellMar>
        </w:tblPrEx>
        <w:trPr>
          <w:trHeight w:val="500"/>
          <w:jc w:val="center"/>
        </w:trPr>
        <w:tc>
          <w:tcPr>
            <w:tcW w:w="9072" w:type="dxa"/>
            <w:vAlign w:val="center"/>
          </w:tcPr>
          <w:p w:rsidR="00AE2806" w:rsidRPr="00AE2806" w:rsidRDefault="00AE2806" w:rsidP="00AE2806">
            <w:pPr>
              <w:widowControl/>
              <w:suppressAutoHyphens w:val="0"/>
              <w:spacing w:after="200"/>
              <w:ind w:right="283"/>
              <w:jc w:val="center"/>
              <w:rPr>
                <w:b/>
                <w:color w:val="010000"/>
              </w:rPr>
            </w:pPr>
            <w:r>
              <w:rPr>
                <w:b/>
                <w:color w:val="010000"/>
              </w:rPr>
              <w:t>İKİNCİ BÖLÜM</w:t>
            </w:r>
          </w:p>
        </w:tc>
      </w:tr>
      <w:tr w:rsidR="00AE2806" w:rsidRPr="00AE2806" w:rsidTr="00AE2806">
        <w:tblPrEx>
          <w:tblCellMar>
            <w:top w:w="0" w:type="dxa"/>
            <w:bottom w:w="0" w:type="dxa"/>
          </w:tblCellMar>
        </w:tblPrEx>
        <w:trPr>
          <w:trHeight w:val="500"/>
          <w:jc w:val="center"/>
        </w:trPr>
        <w:tc>
          <w:tcPr>
            <w:tcW w:w="9072" w:type="dxa"/>
            <w:vAlign w:val="center"/>
          </w:tcPr>
          <w:p w:rsidR="00AE2806" w:rsidRPr="00AE2806" w:rsidRDefault="00AE2806" w:rsidP="00AE2806">
            <w:pPr>
              <w:widowControl/>
              <w:suppressAutoHyphens w:val="0"/>
              <w:spacing w:after="200"/>
              <w:ind w:right="283"/>
              <w:jc w:val="center"/>
              <w:rPr>
                <w:b/>
                <w:color w:val="010000"/>
              </w:rPr>
            </w:pPr>
          </w:p>
        </w:tc>
      </w:tr>
      <w:tr w:rsidR="00AE2806" w:rsidRPr="00AE2806" w:rsidTr="00AE2806">
        <w:tblPrEx>
          <w:tblCellMar>
            <w:top w:w="0" w:type="dxa"/>
            <w:bottom w:w="0" w:type="dxa"/>
          </w:tblCellMar>
        </w:tblPrEx>
        <w:trPr>
          <w:trHeight w:val="500"/>
          <w:jc w:val="center"/>
        </w:trPr>
        <w:tc>
          <w:tcPr>
            <w:tcW w:w="9072" w:type="dxa"/>
            <w:vAlign w:val="center"/>
          </w:tcPr>
          <w:p w:rsidR="00AE2806" w:rsidRPr="00AE2806" w:rsidRDefault="00AE2806" w:rsidP="00AE2806">
            <w:pPr>
              <w:widowControl/>
              <w:suppressAutoHyphens w:val="0"/>
              <w:spacing w:after="200"/>
              <w:ind w:right="283"/>
              <w:jc w:val="center"/>
              <w:rPr>
                <w:b/>
                <w:color w:val="010000"/>
              </w:rPr>
            </w:pPr>
            <w:r>
              <w:rPr>
                <w:b/>
                <w:color w:val="010000"/>
              </w:rPr>
              <w:t>KARAR</w:t>
            </w:r>
          </w:p>
        </w:tc>
      </w:tr>
      <w:tr w:rsidR="00AE2806" w:rsidRPr="00AE2806" w:rsidTr="00AE2806">
        <w:tblPrEx>
          <w:tblCellMar>
            <w:top w:w="0" w:type="dxa"/>
            <w:bottom w:w="0" w:type="dxa"/>
          </w:tblCellMar>
        </w:tblPrEx>
        <w:trPr>
          <w:trHeight w:val="500"/>
          <w:jc w:val="center"/>
        </w:trPr>
        <w:tc>
          <w:tcPr>
            <w:tcW w:w="9072" w:type="dxa"/>
            <w:vAlign w:val="center"/>
          </w:tcPr>
          <w:p w:rsidR="00AE2806" w:rsidRPr="00AE2806" w:rsidRDefault="00AE2806" w:rsidP="00AE2806">
            <w:pPr>
              <w:widowControl/>
              <w:suppressAutoHyphens w:val="0"/>
              <w:spacing w:after="200"/>
              <w:ind w:right="283"/>
              <w:jc w:val="center"/>
              <w:rPr>
                <w:b/>
                <w:color w:val="010000"/>
              </w:rPr>
            </w:pPr>
          </w:p>
        </w:tc>
      </w:tr>
      <w:tr w:rsidR="00AE2806" w:rsidRPr="00AE2806" w:rsidTr="00AE2806">
        <w:tblPrEx>
          <w:tblCellMar>
            <w:top w:w="0" w:type="dxa"/>
            <w:bottom w:w="0" w:type="dxa"/>
          </w:tblCellMar>
        </w:tblPrEx>
        <w:trPr>
          <w:trHeight w:val="500"/>
          <w:jc w:val="center"/>
        </w:trPr>
        <w:tc>
          <w:tcPr>
            <w:tcW w:w="9072" w:type="dxa"/>
            <w:vAlign w:val="center"/>
          </w:tcPr>
          <w:p w:rsidR="00AE2806" w:rsidRPr="00AE2806" w:rsidRDefault="00AE2806" w:rsidP="00AE2806">
            <w:pPr>
              <w:widowControl/>
              <w:suppressAutoHyphens w:val="0"/>
              <w:spacing w:after="200"/>
              <w:ind w:right="283"/>
              <w:jc w:val="center"/>
              <w:rPr>
                <w:b/>
                <w:color w:val="010000"/>
              </w:rPr>
            </w:pPr>
            <w:r>
              <w:rPr>
                <w:b/>
                <w:color w:val="010000"/>
              </w:rPr>
              <w:t>BÜLENT ERSAN BAŞVURUSU</w:t>
            </w:r>
          </w:p>
        </w:tc>
      </w:tr>
      <w:tr w:rsidR="00AE2806" w:rsidRPr="00AE2806" w:rsidTr="00AE2806">
        <w:tblPrEx>
          <w:tblCellMar>
            <w:top w:w="0" w:type="dxa"/>
            <w:bottom w:w="0" w:type="dxa"/>
          </w:tblCellMar>
        </w:tblPrEx>
        <w:trPr>
          <w:trHeight w:val="500"/>
          <w:jc w:val="center"/>
        </w:trPr>
        <w:tc>
          <w:tcPr>
            <w:tcW w:w="9072" w:type="dxa"/>
            <w:vAlign w:val="center"/>
          </w:tcPr>
          <w:p w:rsidR="00AE2806" w:rsidRPr="00AE2806" w:rsidRDefault="00AE2806" w:rsidP="00AE2806">
            <w:pPr>
              <w:widowControl/>
              <w:suppressAutoHyphens w:val="0"/>
              <w:spacing w:after="200"/>
              <w:ind w:right="283"/>
              <w:jc w:val="center"/>
              <w:rPr>
                <w:color w:val="010000"/>
              </w:rPr>
            </w:pPr>
            <w:r>
              <w:rPr>
                <w:color w:val="010000"/>
              </w:rPr>
              <w:t>(Başvuru Numarası: 2020/25232)</w:t>
            </w:r>
          </w:p>
        </w:tc>
      </w:tr>
      <w:tr w:rsidR="00AE2806" w:rsidRPr="00AE2806" w:rsidTr="00AE2806">
        <w:tblPrEx>
          <w:tblCellMar>
            <w:top w:w="0" w:type="dxa"/>
            <w:bottom w:w="0" w:type="dxa"/>
          </w:tblCellMar>
        </w:tblPrEx>
        <w:trPr>
          <w:trHeight w:val="500"/>
          <w:jc w:val="center"/>
        </w:trPr>
        <w:tc>
          <w:tcPr>
            <w:tcW w:w="9072" w:type="dxa"/>
            <w:vAlign w:val="center"/>
          </w:tcPr>
          <w:p w:rsidR="00AE2806" w:rsidRPr="00AE2806" w:rsidRDefault="00AE2806" w:rsidP="00AE2806">
            <w:pPr>
              <w:widowControl/>
              <w:suppressAutoHyphens w:val="0"/>
              <w:spacing w:after="200"/>
              <w:ind w:right="283"/>
              <w:jc w:val="center"/>
              <w:rPr>
                <w:b/>
                <w:color w:val="010000"/>
              </w:rPr>
            </w:pPr>
          </w:p>
        </w:tc>
      </w:tr>
      <w:tr w:rsidR="00AE2806" w:rsidRPr="00AE2806" w:rsidTr="00AE2806">
        <w:tblPrEx>
          <w:tblCellMar>
            <w:top w:w="0" w:type="dxa"/>
            <w:bottom w:w="0" w:type="dxa"/>
          </w:tblCellMar>
        </w:tblPrEx>
        <w:trPr>
          <w:trHeight w:val="500"/>
          <w:jc w:val="center"/>
        </w:trPr>
        <w:tc>
          <w:tcPr>
            <w:tcW w:w="9072" w:type="dxa"/>
            <w:vAlign w:val="center"/>
          </w:tcPr>
          <w:p w:rsidR="00AE2806" w:rsidRPr="00AE2806" w:rsidRDefault="00AE2806" w:rsidP="00AE2806">
            <w:pPr>
              <w:widowControl/>
              <w:suppressAutoHyphens w:val="0"/>
              <w:spacing w:after="200"/>
              <w:ind w:right="283"/>
              <w:jc w:val="center"/>
              <w:rPr>
                <w:color w:val="010000"/>
              </w:rPr>
            </w:pPr>
            <w:r>
              <w:rPr>
                <w:color w:val="010000"/>
              </w:rPr>
              <w:t>Karar Tarihi: 26/3/2025</w:t>
            </w:r>
          </w:p>
        </w:tc>
      </w:tr>
      <w:tr w:rsidR="00AE2806" w:rsidRPr="00AE2806" w:rsidTr="00AE2806">
        <w:tblPrEx>
          <w:tblCellMar>
            <w:top w:w="0" w:type="dxa"/>
            <w:bottom w:w="0" w:type="dxa"/>
          </w:tblCellMar>
        </w:tblPrEx>
        <w:trPr>
          <w:trHeight w:val="500"/>
          <w:jc w:val="center"/>
        </w:trPr>
        <w:tc>
          <w:tcPr>
            <w:tcW w:w="9072" w:type="dxa"/>
            <w:vAlign w:val="center"/>
          </w:tcPr>
          <w:p w:rsidR="00AE2806" w:rsidRPr="00AE2806" w:rsidRDefault="00AE2806" w:rsidP="00AE2806">
            <w:pPr>
              <w:widowControl/>
              <w:suppressAutoHyphens w:val="0"/>
              <w:spacing w:after="200"/>
              <w:ind w:right="283"/>
              <w:jc w:val="center"/>
              <w:rPr>
                <w:color w:val="010000"/>
              </w:rPr>
            </w:pPr>
          </w:p>
        </w:tc>
      </w:tr>
      <w:tr w:rsidR="00AE2806" w:rsidRPr="00AE2806" w:rsidTr="00AE2806">
        <w:tblPrEx>
          <w:tblCellMar>
            <w:top w:w="0" w:type="dxa"/>
            <w:bottom w:w="0" w:type="dxa"/>
          </w:tblCellMar>
        </w:tblPrEx>
        <w:trPr>
          <w:trHeight w:val="500"/>
          <w:jc w:val="center"/>
        </w:trPr>
        <w:tc>
          <w:tcPr>
            <w:tcW w:w="9072" w:type="dxa"/>
            <w:vAlign w:val="center"/>
          </w:tcPr>
          <w:p w:rsidR="00AE2806" w:rsidRPr="00AE2806" w:rsidRDefault="00AE2806" w:rsidP="00AE2806">
            <w:pPr>
              <w:widowControl/>
              <w:suppressAutoHyphens w:val="0"/>
              <w:spacing w:after="200"/>
              <w:ind w:right="283"/>
              <w:jc w:val="center"/>
              <w:rPr>
                <w:b/>
                <w:color w:val="010000"/>
              </w:rPr>
            </w:pPr>
          </w:p>
        </w:tc>
      </w:tr>
      <w:tr w:rsidR="00AE2806" w:rsidRPr="00AE2806" w:rsidTr="00AE2806">
        <w:tblPrEx>
          <w:tblCellMar>
            <w:top w:w="0" w:type="dxa"/>
            <w:bottom w:w="0" w:type="dxa"/>
          </w:tblCellMar>
        </w:tblPrEx>
        <w:trPr>
          <w:trHeight w:val="500"/>
          <w:jc w:val="center"/>
        </w:trPr>
        <w:tc>
          <w:tcPr>
            <w:tcW w:w="9072" w:type="dxa"/>
            <w:vAlign w:val="center"/>
          </w:tcPr>
          <w:p w:rsidR="00AE2806" w:rsidRPr="00AE2806" w:rsidRDefault="00AE2806" w:rsidP="00AE2806">
            <w:pPr>
              <w:widowControl/>
              <w:suppressAutoHyphens w:val="0"/>
              <w:spacing w:after="200"/>
              <w:ind w:right="283"/>
              <w:jc w:val="center"/>
              <w:rPr>
                <w:b/>
                <w:color w:val="010000"/>
              </w:rPr>
            </w:pPr>
          </w:p>
        </w:tc>
      </w:tr>
      <w:tr w:rsidR="00AE2806" w:rsidRPr="00AE2806" w:rsidTr="00AE2806">
        <w:tblPrEx>
          <w:tblCellMar>
            <w:top w:w="0" w:type="dxa"/>
            <w:bottom w:w="0" w:type="dxa"/>
          </w:tblCellMar>
        </w:tblPrEx>
        <w:trPr>
          <w:trHeight w:val="500"/>
          <w:jc w:val="center"/>
        </w:trPr>
        <w:tc>
          <w:tcPr>
            <w:tcW w:w="9072" w:type="dxa"/>
            <w:vAlign w:val="center"/>
          </w:tcPr>
          <w:p w:rsidR="00AE2806" w:rsidRPr="00AE2806" w:rsidRDefault="00AE2806" w:rsidP="00AE2806">
            <w:pPr>
              <w:widowControl/>
              <w:suppressAutoHyphens w:val="0"/>
              <w:spacing w:after="200"/>
              <w:ind w:right="283"/>
              <w:jc w:val="center"/>
              <w:rPr>
                <w:b/>
                <w:color w:val="010000"/>
              </w:rPr>
            </w:pPr>
          </w:p>
        </w:tc>
      </w:tr>
      <w:tr w:rsidR="00AE2806" w:rsidRPr="00AE2806" w:rsidTr="00AE2806">
        <w:tblPrEx>
          <w:tblCellMar>
            <w:top w:w="0" w:type="dxa"/>
            <w:bottom w:w="0" w:type="dxa"/>
          </w:tblCellMar>
        </w:tblPrEx>
        <w:trPr>
          <w:trHeight w:val="500"/>
          <w:jc w:val="center"/>
        </w:trPr>
        <w:tc>
          <w:tcPr>
            <w:tcW w:w="9072" w:type="dxa"/>
            <w:vAlign w:val="center"/>
          </w:tcPr>
          <w:p w:rsidR="00AE2806" w:rsidRPr="00AE2806" w:rsidRDefault="00AE2806" w:rsidP="00AE2806">
            <w:pPr>
              <w:widowControl/>
              <w:suppressAutoHyphens w:val="0"/>
              <w:spacing w:after="200"/>
              <w:ind w:right="283"/>
              <w:jc w:val="center"/>
              <w:rPr>
                <w:b/>
                <w:color w:val="010000"/>
              </w:rPr>
            </w:pPr>
          </w:p>
        </w:tc>
      </w:tr>
    </w:tbl>
    <w:p w:rsidR="00AE2806" w:rsidRDefault="00AE2806" w:rsidP="00AE2806">
      <w:pPr>
        <w:widowControl/>
        <w:suppressAutoHyphens w:val="0"/>
        <w:spacing w:after="200"/>
        <w:ind w:left="283" w:right="283" w:firstLine="709"/>
        <w:jc w:val="both"/>
        <w:rPr>
          <w:b/>
          <w:color w:val="010000"/>
        </w:rPr>
        <w:sectPr w:rsidR="00AE2806" w:rsidSect="00AE2806">
          <w:headerReference w:type="default" r:id="rId6"/>
          <w:footerReference w:type="default" r:id="rId7"/>
          <w:pgSz w:w="11906" w:h="16838"/>
          <w:pgMar w:top="976" w:right="1417" w:bottom="941" w:left="1417" w:header="400" w:footer="400" w:gutter="0"/>
          <w:cols w:space="708"/>
          <w:titlePg/>
          <w:docGrid w:linePitch="600" w:charSpace="32768"/>
        </w:sectPr>
      </w:pPr>
    </w:p>
    <w:p w:rsidR="00904B38" w:rsidRPr="00AE2806" w:rsidRDefault="00D46632" w:rsidP="00AE2806">
      <w:pPr>
        <w:widowControl/>
        <w:suppressAutoHyphens w:val="0"/>
        <w:spacing w:after="200"/>
        <w:ind w:left="283" w:right="283" w:firstLine="1"/>
        <w:jc w:val="center"/>
        <w:rPr>
          <w:color w:val="010000"/>
        </w:rPr>
      </w:pPr>
      <w:r w:rsidRPr="00AE2806">
        <w:rPr>
          <w:b/>
          <w:color w:val="010000"/>
        </w:rPr>
        <w:lastRenderedPageBreak/>
        <w:t>İKİNCİ BÖLÜM</w:t>
      </w:r>
    </w:p>
    <w:p w:rsidR="00904B38" w:rsidRPr="00AE2806" w:rsidRDefault="00D46632" w:rsidP="00AE2806">
      <w:pPr>
        <w:widowControl/>
        <w:suppressAutoHyphens w:val="0"/>
        <w:spacing w:after="200"/>
        <w:ind w:left="283" w:right="283" w:firstLine="1"/>
        <w:jc w:val="center"/>
        <w:rPr>
          <w:color w:val="010000"/>
        </w:rPr>
      </w:pPr>
      <w:r w:rsidRPr="00AE2806">
        <w:rPr>
          <w:b/>
          <w:color w:val="010000"/>
        </w:rPr>
        <w:t>KARAR</w:t>
      </w:r>
    </w:p>
    <w:p w:rsidR="00AE2806" w:rsidRDefault="00AE2806" w:rsidP="00AE2806">
      <w:pPr>
        <w:widowControl/>
        <w:suppressAutoHyphens w:val="0"/>
        <w:spacing w:after="200"/>
        <w:ind w:left="283" w:right="283" w:firstLine="709"/>
        <w:jc w:val="both"/>
        <w:rPr>
          <w:b/>
          <w:color w:val="010000"/>
          <w:lang w:eastAsia="ja-JP" w:bidi="fa-IR"/>
        </w:rPr>
      </w:pPr>
    </w:p>
    <w:tbl>
      <w:tblPr>
        <w:tblW w:w="12600" w:type="dxa"/>
        <w:tblInd w:w="800" w:type="dxa"/>
        <w:tblLayout w:type="fixed"/>
        <w:tblCellMar>
          <w:left w:w="70" w:type="dxa"/>
          <w:right w:w="70" w:type="dxa"/>
        </w:tblCellMar>
        <w:tblLook w:val="0000" w:firstRow="0" w:lastRow="0" w:firstColumn="0" w:lastColumn="0" w:noHBand="0" w:noVBand="0"/>
      </w:tblPr>
      <w:tblGrid>
        <w:gridCol w:w="2400"/>
        <w:gridCol w:w="200"/>
        <w:gridCol w:w="10000"/>
      </w:tblGrid>
      <w:tr w:rsidR="00AE2806" w:rsidRPr="00AE2806" w:rsidTr="00AE2806">
        <w:tblPrEx>
          <w:tblCellMar>
            <w:top w:w="0" w:type="dxa"/>
            <w:bottom w:w="0" w:type="dxa"/>
          </w:tblCellMar>
        </w:tblPrEx>
        <w:trPr>
          <w:trHeight w:val="454"/>
        </w:trPr>
        <w:tc>
          <w:tcPr>
            <w:tcW w:w="2400" w:type="dxa"/>
          </w:tcPr>
          <w:p w:rsidR="00AE2806" w:rsidRPr="00AE2806" w:rsidRDefault="00AE2806" w:rsidP="00AE2806">
            <w:pPr>
              <w:widowControl/>
              <w:suppressAutoHyphens w:val="0"/>
              <w:rPr>
                <w:b/>
                <w:color w:val="010000"/>
              </w:rPr>
            </w:pPr>
            <w:r w:rsidRPr="00AE2806">
              <w:rPr>
                <w:b/>
                <w:color w:val="010000"/>
              </w:rPr>
              <w:t>Başkan</w:t>
            </w:r>
          </w:p>
        </w:tc>
        <w:tc>
          <w:tcPr>
            <w:tcW w:w="200" w:type="dxa"/>
          </w:tcPr>
          <w:p w:rsidR="00AE2806" w:rsidRPr="00AE2806" w:rsidRDefault="00AE2806" w:rsidP="00AE2806">
            <w:pPr>
              <w:widowControl/>
              <w:suppressAutoHyphens w:val="0"/>
              <w:rPr>
                <w:b/>
                <w:color w:val="010000"/>
              </w:rPr>
            </w:pPr>
            <w:r w:rsidRPr="00AE2806">
              <w:rPr>
                <w:b/>
                <w:color w:val="010000"/>
              </w:rPr>
              <w:t>:</w:t>
            </w:r>
          </w:p>
        </w:tc>
        <w:tc>
          <w:tcPr>
            <w:tcW w:w="10000" w:type="dxa"/>
          </w:tcPr>
          <w:p w:rsidR="00AE2806" w:rsidRPr="00AE2806" w:rsidRDefault="00AE2806" w:rsidP="00AE2806">
            <w:pPr>
              <w:widowControl/>
              <w:suppressAutoHyphens w:val="0"/>
              <w:rPr>
                <w:color w:val="010000"/>
              </w:rPr>
            </w:pPr>
            <w:r w:rsidRPr="00AE2806">
              <w:rPr>
                <w:color w:val="010000"/>
              </w:rPr>
              <w:t>Basri BAĞCI</w:t>
            </w:r>
          </w:p>
        </w:tc>
      </w:tr>
      <w:tr w:rsidR="00AE2806" w:rsidRPr="00AE2806" w:rsidTr="00AE2806">
        <w:tblPrEx>
          <w:tblCellMar>
            <w:top w:w="0" w:type="dxa"/>
            <w:bottom w:w="0" w:type="dxa"/>
          </w:tblCellMar>
        </w:tblPrEx>
        <w:trPr>
          <w:trHeight w:val="454"/>
        </w:trPr>
        <w:tc>
          <w:tcPr>
            <w:tcW w:w="2400" w:type="dxa"/>
          </w:tcPr>
          <w:p w:rsidR="00AE2806" w:rsidRPr="00AE2806" w:rsidRDefault="00AE2806" w:rsidP="00AE2806">
            <w:pPr>
              <w:widowControl/>
              <w:suppressAutoHyphens w:val="0"/>
              <w:rPr>
                <w:b/>
                <w:color w:val="010000"/>
              </w:rPr>
            </w:pPr>
            <w:r w:rsidRPr="00AE2806">
              <w:rPr>
                <w:b/>
                <w:color w:val="010000"/>
              </w:rPr>
              <w:t>Üyeler</w:t>
            </w:r>
          </w:p>
        </w:tc>
        <w:tc>
          <w:tcPr>
            <w:tcW w:w="200" w:type="dxa"/>
          </w:tcPr>
          <w:p w:rsidR="00AE2806" w:rsidRPr="00AE2806" w:rsidRDefault="00AE2806" w:rsidP="00AE2806">
            <w:pPr>
              <w:widowControl/>
              <w:suppressAutoHyphens w:val="0"/>
              <w:rPr>
                <w:b/>
                <w:color w:val="010000"/>
              </w:rPr>
            </w:pPr>
            <w:r w:rsidRPr="00AE2806">
              <w:rPr>
                <w:b/>
                <w:color w:val="010000"/>
              </w:rPr>
              <w:t>:</w:t>
            </w:r>
          </w:p>
        </w:tc>
        <w:tc>
          <w:tcPr>
            <w:tcW w:w="10000" w:type="dxa"/>
          </w:tcPr>
          <w:p w:rsidR="00AE2806" w:rsidRPr="00AE2806" w:rsidRDefault="00AE2806" w:rsidP="00AE2806">
            <w:pPr>
              <w:widowControl/>
              <w:suppressAutoHyphens w:val="0"/>
              <w:rPr>
                <w:color w:val="010000"/>
              </w:rPr>
            </w:pPr>
            <w:r w:rsidRPr="00AE2806">
              <w:rPr>
                <w:color w:val="010000"/>
              </w:rPr>
              <w:t>Engin YILDIRIM</w:t>
            </w:r>
          </w:p>
        </w:tc>
      </w:tr>
      <w:tr w:rsidR="00AE2806" w:rsidRPr="00AE2806" w:rsidTr="00AE2806">
        <w:tblPrEx>
          <w:tblCellMar>
            <w:top w:w="0" w:type="dxa"/>
            <w:bottom w:w="0" w:type="dxa"/>
          </w:tblCellMar>
        </w:tblPrEx>
        <w:trPr>
          <w:trHeight w:val="454"/>
        </w:trPr>
        <w:tc>
          <w:tcPr>
            <w:tcW w:w="2400" w:type="dxa"/>
          </w:tcPr>
          <w:p w:rsidR="00AE2806" w:rsidRPr="00AE2806" w:rsidRDefault="00AE2806" w:rsidP="00AE2806">
            <w:pPr>
              <w:widowControl/>
              <w:suppressAutoHyphens w:val="0"/>
              <w:rPr>
                <w:b/>
                <w:color w:val="010000"/>
              </w:rPr>
            </w:pPr>
          </w:p>
        </w:tc>
        <w:tc>
          <w:tcPr>
            <w:tcW w:w="200" w:type="dxa"/>
          </w:tcPr>
          <w:p w:rsidR="00AE2806" w:rsidRPr="00AE2806" w:rsidRDefault="00AE2806" w:rsidP="00AE2806">
            <w:pPr>
              <w:widowControl/>
              <w:suppressAutoHyphens w:val="0"/>
              <w:rPr>
                <w:b/>
                <w:color w:val="010000"/>
              </w:rPr>
            </w:pPr>
          </w:p>
        </w:tc>
        <w:tc>
          <w:tcPr>
            <w:tcW w:w="10000" w:type="dxa"/>
          </w:tcPr>
          <w:p w:rsidR="00AE2806" w:rsidRPr="00AE2806" w:rsidRDefault="00AE2806" w:rsidP="00AE2806">
            <w:pPr>
              <w:widowControl/>
              <w:suppressAutoHyphens w:val="0"/>
              <w:rPr>
                <w:color w:val="010000"/>
              </w:rPr>
            </w:pPr>
            <w:r w:rsidRPr="00AE2806">
              <w:rPr>
                <w:color w:val="010000"/>
              </w:rPr>
              <w:t>Rıdvan GÜLEÇ</w:t>
            </w:r>
          </w:p>
        </w:tc>
      </w:tr>
      <w:tr w:rsidR="00AE2806" w:rsidRPr="00AE2806" w:rsidTr="00AE2806">
        <w:tblPrEx>
          <w:tblCellMar>
            <w:top w:w="0" w:type="dxa"/>
            <w:bottom w:w="0" w:type="dxa"/>
          </w:tblCellMar>
        </w:tblPrEx>
        <w:trPr>
          <w:trHeight w:val="454"/>
        </w:trPr>
        <w:tc>
          <w:tcPr>
            <w:tcW w:w="2400" w:type="dxa"/>
          </w:tcPr>
          <w:p w:rsidR="00AE2806" w:rsidRPr="00AE2806" w:rsidRDefault="00AE2806" w:rsidP="00AE2806">
            <w:pPr>
              <w:widowControl/>
              <w:suppressAutoHyphens w:val="0"/>
              <w:rPr>
                <w:b/>
                <w:color w:val="010000"/>
              </w:rPr>
            </w:pPr>
          </w:p>
        </w:tc>
        <w:tc>
          <w:tcPr>
            <w:tcW w:w="200" w:type="dxa"/>
          </w:tcPr>
          <w:p w:rsidR="00AE2806" w:rsidRPr="00AE2806" w:rsidRDefault="00AE2806" w:rsidP="00AE2806">
            <w:pPr>
              <w:widowControl/>
              <w:suppressAutoHyphens w:val="0"/>
              <w:rPr>
                <w:b/>
                <w:color w:val="010000"/>
              </w:rPr>
            </w:pPr>
          </w:p>
        </w:tc>
        <w:tc>
          <w:tcPr>
            <w:tcW w:w="10000" w:type="dxa"/>
          </w:tcPr>
          <w:p w:rsidR="00AE2806" w:rsidRPr="00AE2806" w:rsidRDefault="00AE2806" w:rsidP="00AE2806">
            <w:pPr>
              <w:widowControl/>
              <w:suppressAutoHyphens w:val="0"/>
              <w:rPr>
                <w:color w:val="010000"/>
              </w:rPr>
            </w:pPr>
            <w:r w:rsidRPr="00AE2806">
              <w:rPr>
                <w:color w:val="010000"/>
              </w:rPr>
              <w:t>Kenan YAŞAR</w:t>
            </w:r>
          </w:p>
        </w:tc>
      </w:tr>
      <w:tr w:rsidR="00AE2806" w:rsidRPr="00AE2806" w:rsidTr="00AE2806">
        <w:tblPrEx>
          <w:tblCellMar>
            <w:top w:w="0" w:type="dxa"/>
            <w:bottom w:w="0" w:type="dxa"/>
          </w:tblCellMar>
        </w:tblPrEx>
        <w:trPr>
          <w:trHeight w:val="454"/>
        </w:trPr>
        <w:tc>
          <w:tcPr>
            <w:tcW w:w="2400" w:type="dxa"/>
          </w:tcPr>
          <w:p w:rsidR="00AE2806" w:rsidRPr="00AE2806" w:rsidRDefault="00AE2806" w:rsidP="00AE2806">
            <w:pPr>
              <w:widowControl/>
              <w:suppressAutoHyphens w:val="0"/>
              <w:rPr>
                <w:b/>
                <w:color w:val="010000"/>
              </w:rPr>
            </w:pPr>
          </w:p>
        </w:tc>
        <w:tc>
          <w:tcPr>
            <w:tcW w:w="200" w:type="dxa"/>
          </w:tcPr>
          <w:p w:rsidR="00AE2806" w:rsidRPr="00AE2806" w:rsidRDefault="00AE2806" w:rsidP="00AE2806">
            <w:pPr>
              <w:widowControl/>
              <w:suppressAutoHyphens w:val="0"/>
              <w:rPr>
                <w:b/>
                <w:color w:val="010000"/>
              </w:rPr>
            </w:pPr>
          </w:p>
        </w:tc>
        <w:tc>
          <w:tcPr>
            <w:tcW w:w="10000" w:type="dxa"/>
          </w:tcPr>
          <w:p w:rsidR="00AE2806" w:rsidRPr="00AE2806" w:rsidRDefault="00AE2806" w:rsidP="00AE2806">
            <w:pPr>
              <w:widowControl/>
              <w:suppressAutoHyphens w:val="0"/>
              <w:rPr>
                <w:color w:val="010000"/>
              </w:rPr>
            </w:pPr>
            <w:r w:rsidRPr="00AE2806">
              <w:rPr>
                <w:color w:val="010000"/>
              </w:rPr>
              <w:t>Ömer ÇINAR</w:t>
            </w:r>
          </w:p>
        </w:tc>
      </w:tr>
      <w:tr w:rsidR="00AE2806" w:rsidRPr="00AE2806" w:rsidTr="00AE2806">
        <w:tblPrEx>
          <w:tblCellMar>
            <w:top w:w="0" w:type="dxa"/>
            <w:bottom w:w="0" w:type="dxa"/>
          </w:tblCellMar>
        </w:tblPrEx>
        <w:trPr>
          <w:trHeight w:val="454"/>
        </w:trPr>
        <w:tc>
          <w:tcPr>
            <w:tcW w:w="2400" w:type="dxa"/>
          </w:tcPr>
          <w:p w:rsidR="00AE2806" w:rsidRPr="00AE2806" w:rsidRDefault="00AE2806" w:rsidP="00AE2806">
            <w:pPr>
              <w:widowControl/>
              <w:suppressAutoHyphens w:val="0"/>
              <w:rPr>
                <w:b/>
                <w:color w:val="010000"/>
              </w:rPr>
            </w:pPr>
            <w:r w:rsidRPr="00AE2806">
              <w:rPr>
                <w:b/>
                <w:color w:val="010000"/>
              </w:rPr>
              <w:t>Raportör</w:t>
            </w:r>
          </w:p>
        </w:tc>
        <w:tc>
          <w:tcPr>
            <w:tcW w:w="200" w:type="dxa"/>
          </w:tcPr>
          <w:p w:rsidR="00AE2806" w:rsidRPr="00AE2806" w:rsidRDefault="00AE2806" w:rsidP="00AE2806">
            <w:pPr>
              <w:widowControl/>
              <w:suppressAutoHyphens w:val="0"/>
              <w:rPr>
                <w:b/>
                <w:color w:val="010000"/>
              </w:rPr>
            </w:pPr>
            <w:r w:rsidRPr="00AE2806">
              <w:rPr>
                <w:b/>
                <w:color w:val="010000"/>
              </w:rPr>
              <w:t>:</w:t>
            </w:r>
          </w:p>
        </w:tc>
        <w:tc>
          <w:tcPr>
            <w:tcW w:w="10000" w:type="dxa"/>
          </w:tcPr>
          <w:p w:rsidR="00AE2806" w:rsidRPr="00AE2806" w:rsidRDefault="00AE2806" w:rsidP="00AE2806">
            <w:pPr>
              <w:widowControl/>
              <w:suppressAutoHyphens w:val="0"/>
              <w:rPr>
                <w:color w:val="010000"/>
              </w:rPr>
            </w:pPr>
            <w:r w:rsidRPr="00AE2806">
              <w:rPr>
                <w:color w:val="010000"/>
              </w:rPr>
              <w:t>Muzaffer KORKMAZ</w:t>
            </w:r>
          </w:p>
        </w:tc>
      </w:tr>
      <w:tr w:rsidR="00AE2806" w:rsidRPr="00AE2806" w:rsidTr="00AE2806">
        <w:tblPrEx>
          <w:tblCellMar>
            <w:top w:w="0" w:type="dxa"/>
            <w:bottom w:w="0" w:type="dxa"/>
          </w:tblCellMar>
        </w:tblPrEx>
        <w:trPr>
          <w:trHeight w:val="454"/>
        </w:trPr>
        <w:tc>
          <w:tcPr>
            <w:tcW w:w="2400" w:type="dxa"/>
          </w:tcPr>
          <w:p w:rsidR="00AE2806" w:rsidRPr="00AE2806" w:rsidRDefault="00AE2806" w:rsidP="00AE2806">
            <w:pPr>
              <w:widowControl/>
              <w:suppressAutoHyphens w:val="0"/>
              <w:rPr>
                <w:b/>
                <w:color w:val="010000"/>
              </w:rPr>
            </w:pPr>
            <w:r w:rsidRPr="00AE2806">
              <w:rPr>
                <w:b/>
                <w:color w:val="010000"/>
              </w:rPr>
              <w:t>Başvurucu</w:t>
            </w:r>
          </w:p>
        </w:tc>
        <w:tc>
          <w:tcPr>
            <w:tcW w:w="200" w:type="dxa"/>
          </w:tcPr>
          <w:p w:rsidR="00AE2806" w:rsidRPr="00AE2806" w:rsidRDefault="00AE2806" w:rsidP="00AE2806">
            <w:pPr>
              <w:widowControl/>
              <w:suppressAutoHyphens w:val="0"/>
              <w:rPr>
                <w:b/>
                <w:color w:val="010000"/>
              </w:rPr>
            </w:pPr>
            <w:r w:rsidRPr="00AE2806">
              <w:rPr>
                <w:b/>
                <w:color w:val="010000"/>
              </w:rPr>
              <w:t>:</w:t>
            </w:r>
          </w:p>
        </w:tc>
        <w:tc>
          <w:tcPr>
            <w:tcW w:w="10000" w:type="dxa"/>
          </w:tcPr>
          <w:p w:rsidR="00AE2806" w:rsidRPr="00AE2806" w:rsidRDefault="00AE2806" w:rsidP="00AE2806">
            <w:pPr>
              <w:widowControl/>
              <w:suppressAutoHyphens w:val="0"/>
              <w:rPr>
                <w:color w:val="010000"/>
              </w:rPr>
            </w:pPr>
            <w:r w:rsidRPr="00AE2806">
              <w:rPr>
                <w:color w:val="010000"/>
              </w:rPr>
              <w:t>Bülent ERSAN</w:t>
            </w:r>
          </w:p>
        </w:tc>
      </w:tr>
      <w:tr w:rsidR="00AE2806" w:rsidRPr="00AE2806" w:rsidTr="00AE2806">
        <w:tblPrEx>
          <w:tblCellMar>
            <w:top w:w="0" w:type="dxa"/>
            <w:bottom w:w="0" w:type="dxa"/>
          </w:tblCellMar>
        </w:tblPrEx>
        <w:trPr>
          <w:trHeight w:val="454"/>
        </w:trPr>
        <w:tc>
          <w:tcPr>
            <w:tcW w:w="2400" w:type="dxa"/>
          </w:tcPr>
          <w:p w:rsidR="00AE2806" w:rsidRPr="00AE2806" w:rsidRDefault="00AE2806" w:rsidP="00AE2806">
            <w:pPr>
              <w:widowControl/>
              <w:suppressAutoHyphens w:val="0"/>
              <w:rPr>
                <w:b/>
                <w:color w:val="010000"/>
              </w:rPr>
            </w:pPr>
            <w:r w:rsidRPr="00AE2806">
              <w:rPr>
                <w:b/>
                <w:color w:val="010000"/>
              </w:rPr>
              <w:t>Vekili</w:t>
            </w:r>
          </w:p>
        </w:tc>
        <w:tc>
          <w:tcPr>
            <w:tcW w:w="200" w:type="dxa"/>
          </w:tcPr>
          <w:p w:rsidR="00AE2806" w:rsidRPr="00AE2806" w:rsidRDefault="00AE2806" w:rsidP="00AE2806">
            <w:pPr>
              <w:widowControl/>
              <w:suppressAutoHyphens w:val="0"/>
              <w:rPr>
                <w:b/>
                <w:color w:val="010000"/>
              </w:rPr>
            </w:pPr>
            <w:r w:rsidRPr="00AE2806">
              <w:rPr>
                <w:b/>
                <w:color w:val="010000"/>
              </w:rPr>
              <w:t>:</w:t>
            </w:r>
          </w:p>
        </w:tc>
        <w:tc>
          <w:tcPr>
            <w:tcW w:w="10000" w:type="dxa"/>
          </w:tcPr>
          <w:p w:rsidR="00AE2806" w:rsidRPr="00AE2806" w:rsidRDefault="00AE2806" w:rsidP="00AE2806">
            <w:pPr>
              <w:widowControl/>
              <w:suppressAutoHyphens w:val="0"/>
              <w:rPr>
                <w:color w:val="010000"/>
              </w:rPr>
            </w:pPr>
            <w:r w:rsidRPr="00AE2806">
              <w:rPr>
                <w:color w:val="010000"/>
              </w:rPr>
              <w:t>Av. Murat ÖZDEMİR</w:t>
            </w:r>
          </w:p>
        </w:tc>
      </w:tr>
    </w:tbl>
    <w:p w:rsidR="00AE2806" w:rsidRDefault="00AE2806" w:rsidP="00AE2806">
      <w:pPr>
        <w:widowControl/>
        <w:suppressAutoHyphens w:val="0"/>
        <w:spacing w:after="200"/>
        <w:ind w:left="283" w:right="283" w:firstLine="709"/>
        <w:jc w:val="both"/>
        <w:rPr>
          <w:b/>
          <w:color w:val="010000"/>
        </w:rPr>
      </w:pPr>
    </w:p>
    <w:p w:rsidR="00904B38" w:rsidRPr="00AE2806" w:rsidRDefault="00D46632" w:rsidP="00AE2806">
      <w:pPr>
        <w:widowControl/>
        <w:suppressAutoHyphens w:val="0"/>
        <w:spacing w:after="200"/>
        <w:ind w:left="283" w:right="283" w:firstLine="709"/>
        <w:jc w:val="both"/>
        <w:rPr>
          <w:color w:val="010000"/>
        </w:rPr>
      </w:pPr>
      <w:r w:rsidRPr="00AE2806">
        <w:rPr>
          <w:b/>
          <w:color w:val="010000"/>
        </w:rPr>
        <w:t>I.</w:t>
      </w:r>
      <w:r w:rsidR="00AE2806" w:rsidRPr="00AE2806">
        <w:rPr>
          <w:color w:val="010000"/>
        </w:rPr>
        <w:t xml:space="preserve"> </w:t>
      </w:r>
      <w:r w:rsidRPr="00AE2806">
        <w:rPr>
          <w:b/>
          <w:color w:val="010000"/>
        </w:rPr>
        <w:t>BAŞVURUNUN ÖZETİ</w:t>
      </w:r>
    </w:p>
    <w:p w:rsidR="00904B38" w:rsidRPr="00AE2806" w:rsidRDefault="00D46632" w:rsidP="00AE2806">
      <w:pPr>
        <w:widowControl/>
        <w:suppressAutoHyphens w:val="0"/>
        <w:spacing w:after="200"/>
        <w:ind w:left="283" w:right="283" w:firstLine="709"/>
        <w:jc w:val="both"/>
        <w:rPr>
          <w:color w:val="010000"/>
        </w:rPr>
      </w:pPr>
      <w:r w:rsidRPr="00AE2806">
        <w:rPr>
          <w:color w:val="010000"/>
        </w:rPr>
        <w:t>1.</w:t>
      </w:r>
      <w:r w:rsidR="00AE2806" w:rsidRPr="00AE2806">
        <w:rPr>
          <w:color w:val="010000"/>
        </w:rPr>
        <w:t xml:space="preserve"> </w:t>
      </w:r>
      <w:r w:rsidRPr="00AE2806">
        <w:rPr>
          <w:color w:val="010000"/>
        </w:rPr>
        <w:t>Başvuru, hukuka aykırı gözaltı ve tutuklama tedbirine istinaden hükmedilen tazminatın yetersiz olması nedeniyle kişi hürriyeti ve güvenliği hakkının ihlal edildiği iddiasına ilişkindir.</w:t>
      </w:r>
    </w:p>
    <w:p w:rsidR="00904B38" w:rsidRPr="00AE2806" w:rsidRDefault="00D46632" w:rsidP="00AE2806">
      <w:pPr>
        <w:widowControl/>
        <w:suppressAutoHyphens w:val="0"/>
        <w:spacing w:after="200"/>
        <w:ind w:left="283" w:right="283" w:firstLine="709"/>
        <w:jc w:val="both"/>
        <w:rPr>
          <w:color w:val="010000"/>
        </w:rPr>
      </w:pPr>
      <w:r w:rsidRPr="00AE2806">
        <w:rPr>
          <w:color w:val="010000"/>
        </w:rPr>
        <w:t>2.</w:t>
      </w:r>
      <w:r w:rsidR="00AE2806" w:rsidRPr="00AE2806">
        <w:rPr>
          <w:color w:val="010000"/>
        </w:rPr>
        <w:t xml:space="preserve"> </w:t>
      </w:r>
      <w:r w:rsidRPr="00AE2806">
        <w:rPr>
          <w:color w:val="010000"/>
        </w:rPr>
        <w:t>Başvurucu, hakkında yürütülen bir soruşturma kapsamında 9/8/2016 tarihinde gözaltına alınmış; 3/9/2016 tarihinde tutuklanmış ve 19/12/2016 tarihinde serbest bırakılmıştır. Yapılan yargılama sonucunda başvurucunun beraatine karar verilmiş, beraat kararı 21/9/2018 tarihinde kesinleşmiştir.</w:t>
      </w:r>
    </w:p>
    <w:p w:rsidR="00904B38" w:rsidRPr="00AE2806" w:rsidRDefault="00D46632" w:rsidP="00AE2806">
      <w:pPr>
        <w:widowControl/>
        <w:suppressAutoHyphens w:val="0"/>
        <w:spacing w:after="200"/>
        <w:ind w:left="283" w:right="283" w:firstLine="709"/>
        <w:jc w:val="both"/>
        <w:rPr>
          <w:color w:val="010000"/>
        </w:rPr>
      </w:pPr>
      <w:r w:rsidRPr="00AE2806">
        <w:rPr>
          <w:color w:val="010000"/>
        </w:rPr>
        <w:t>3.</w:t>
      </w:r>
      <w:r w:rsidR="00AE2806" w:rsidRPr="00AE2806">
        <w:rPr>
          <w:color w:val="010000"/>
        </w:rPr>
        <w:t xml:space="preserve"> </w:t>
      </w:r>
      <w:r w:rsidRPr="00AE2806">
        <w:rPr>
          <w:color w:val="010000"/>
        </w:rPr>
        <w:t>Beraat kararının kesinleşmesi üzerine başvurucu, haksız olarak gözaltına alınıp tutuklandığı iddiasıyla tazminat davası açmıştır. Başvurucu, uygulanan koruma tedbirleri için toplam 18.360 TL maddi tazminat ve 25.000 TL manevi tazminat talebinde bulunmuştur.</w:t>
      </w:r>
    </w:p>
    <w:p w:rsidR="00904B38" w:rsidRPr="00AE2806" w:rsidRDefault="00D46632" w:rsidP="00AE2806">
      <w:pPr>
        <w:widowControl/>
        <w:suppressAutoHyphens w:val="0"/>
        <w:spacing w:after="200"/>
        <w:ind w:left="283" w:right="283" w:firstLine="709"/>
        <w:jc w:val="both"/>
        <w:rPr>
          <w:color w:val="010000"/>
        </w:rPr>
      </w:pPr>
      <w:r w:rsidRPr="00AE2806">
        <w:rPr>
          <w:color w:val="010000"/>
        </w:rPr>
        <w:t>4.</w:t>
      </w:r>
      <w:r w:rsidR="00AE2806" w:rsidRPr="00AE2806">
        <w:rPr>
          <w:color w:val="010000"/>
        </w:rPr>
        <w:t xml:space="preserve"> </w:t>
      </w:r>
      <w:r w:rsidRPr="00AE2806">
        <w:rPr>
          <w:color w:val="010000"/>
        </w:rPr>
        <w:t>Bursa 13. Ağır Ceza Mahkemesi 28/6/2019 tarihli kararıyla maddi tazminat talebinin reddine, manevi tazminat talebinin ise 11.000 TL tutarındaki kısmının kabulüne hükmetmiştir.</w:t>
      </w:r>
    </w:p>
    <w:p w:rsidR="00904B38" w:rsidRPr="00AE2806" w:rsidRDefault="00D46632" w:rsidP="00AE2806">
      <w:pPr>
        <w:widowControl/>
        <w:suppressAutoHyphens w:val="0"/>
        <w:spacing w:after="200"/>
        <w:ind w:left="283" w:right="283" w:firstLine="709"/>
        <w:jc w:val="both"/>
        <w:rPr>
          <w:color w:val="010000"/>
        </w:rPr>
      </w:pPr>
      <w:r w:rsidRPr="00AE2806">
        <w:rPr>
          <w:color w:val="010000"/>
        </w:rPr>
        <w:t>5.</w:t>
      </w:r>
      <w:r w:rsidR="00AE2806" w:rsidRPr="00AE2806">
        <w:rPr>
          <w:color w:val="010000"/>
        </w:rPr>
        <w:t xml:space="preserve"> </w:t>
      </w:r>
      <w:r w:rsidRPr="00AE2806">
        <w:rPr>
          <w:color w:val="010000"/>
        </w:rPr>
        <w:t>Başvurucu, hükmedilen tazminatlarındüşük olduğunu belirterek istinaf kanun yoluna başvurmuştur.</w:t>
      </w:r>
    </w:p>
    <w:p w:rsidR="00904B38" w:rsidRPr="00AE2806" w:rsidRDefault="00D46632" w:rsidP="00AE2806">
      <w:pPr>
        <w:widowControl/>
        <w:suppressAutoHyphens w:val="0"/>
        <w:spacing w:after="200"/>
        <w:ind w:left="283" w:right="283" w:firstLine="709"/>
        <w:jc w:val="both"/>
        <w:rPr>
          <w:color w:val="010000"/>
        </w:rPr>
      </w:pPr>
      <w:r w:rsidRPr="00AE2806">
        <w:rPr>
          <w:color w:val="010000"/>
        </w:rPr>
        <w:t>6.</w:t>
      </w:r>
      <w:r w:rsidR="00AE2806" w:rsidRPr="00AE2806">
        <w:rPr>
          <w:color w:val="010000"/>
        </w:rPr>
        <w:t xml:space="preserve"> </w:t>
      </w:r>
      <w:r w:rsidRPr="00AE2806">
        <w:rPr>
          <w:color w:val="010000"/>
        </w:rPr>
        <w:t>Bursa Bölge Adliye Mahkemesi tarafından 4/6/2020 tarihinde manevi tazminat miktarı 6.000 TL olacak şekilde düzeltilerek istinaf başvurusunun esastan reddine karar verilmiştir. Başvurucu, kesin nitelikte verilen bu kararı 10/7/2020 tarihinde öğrendiğini belirtmiştir.</w:t>
      </w:r>
    </w:p>
    <w:p w:rsidR="00904B38" w:rsidRPr="00AE2806" w:rsidRDefault="00D46632" w:rsidP="00AE2806">
      <w:pPr>
        <w:widowControl/>
        <w:suppressAutoHyphens w:val="0"/>
        <w:spacing w:after="200"/>
        <w:ind w:left="283" w:right="283" w:firstLine="709"/>
        <w:jc w:val="both"/>
        <w:rPr>
          <w:color w:val="010000"/>
        </w:rPr>
      </w:pPr>
      <w:r w:rsidRPr="00AE2806">
        <w:rPr>
          <w:color w:val="010000"/>
        </w:rPr>
        <w:t>7.</w:t>
      </w:r>
      <w:r w:rsidR="00AE2806" w:rsidRPr="00AE2806">
        <w:rPr>
          <w:color w:val="010000"/>
        </w:rPr>
        <w:t xml:space="preserve"> </w:t>
      </w:r>
      <w:r w:rsidRPr="00AE2806">
        <w:rPr>
          <w:color w:val="010000"/>
        </w:rPr>
        <w:t>Başvurucu 13/7/2020 tarihinde bireysel başvuruda bulunmuştur.</w:t>
      </w:r>
    </w:p>
    <w:p w:rsidR="00904B38" w:rsidRPr="00AE2806" w:rsidRDefault="00D46632" w:rsidP="00AE2806">
      <w:pPr>
        <w:widowControl/>
        <w:suppressAutoHyphens w:val="0"/>
        <w:spacing w:after="200"/>
        <w:ind w:left="283" w:right="283" w:firstLine="709"/>
        <w:jc w:val="both"/>
        <w:rPr>
          <w:color w:val="010000"/>
        </w:rPr>
      </w:pPr>
      <w:r w:rsidRPr="00AE2806">
        <w:rPr>
          <w:color w:val="010000"/>
        </w:rPr>
        <w:t>8.</w:t>
      </w:r>
      <w:r w:rsidR="00AE2806" w:rsidRPr="00AE2806">
        <w:rPr>
          <w:color w:val="010000"/>
        </w:rPr>
        <w:t xml:space="preserve"> </w:t>
      </w:r>
      <w:r w:rsidRPr="00AE2806">
        <w:rPr>
          <w:color w:val="010000"/>
        </w:rPr>
        <w:t>Komisyon tarafından başvurunun kabul edilebilirlik incelemesinin Bölüm tarafından yapılması gerektiği sonucuna ulaşılmıştır.</w:t>
      </w:r>
    </w:p>
    <w:p w:rsidR="00AE2806" w:rsidRDefault="00AE2806" w:rsidP="00AE2806">
      <w:pPr>
        <w:pStyle w:val="edf1450279197849"/>
        <w:widowControl/>
        <w:suppressAutoHyphens w:val="0"/>
        <w:spacing w:after="200"/>
        <w:ind w:left="283" w:right="283" w:firstLine="709"/>
        <w:jc w:val="both"/>
        <w:rPr>
          <w:rFonts w:cs="Times New Roman"/>
          <w:b/>
          <w:color w:val="010000"/>
        </w:rPr>
      </w:pPr>
    </w:p>
    <w:p w:rsidR="00904B38" w:rsidRPr="00AE2806" w:rsidRDefault="00D46632" w:rsidP="00AE2806">
      <w:pPr>
        <w:pStyle w:val="edf1450279197849"/>
        <w:widowControl/>
        <w:suppressAutoHyphens w:val="0"/>
        <w:spacing w:after="200"/>
        <w:ind w:left="283" w:right="283" w:firstLine="709"/>
        <w:jc w:val="both"/>
        <w:rPr>
          <w:rFonts w:cs="Times New Roman"/>
          <w:color w:val="010000"/>
        </w:rPr>
      </w:pPr>
      <w:bookmarkStart w:id="0" w:name="_GoBack"/>
      <w:bookmarkEnd w:id="0"/>
      <w:r w:rsidRPr="00AE2806">
        <w:rPr>
          <w:rFonts w:cs="Times New Roman"/>
          <w:b/>
          <w:color w:val="010000"/>
        </w:rPr>
        <w:lastRenderedPageBreak/>
        <w:t>II.</w:t>
      </w:r>
      <w:r w:rsidR="00AE2806" w:rsidRPr="00AE2806">
        <w:rPr>
          <w:rFonts w:cs="Times New Roman"/>
          <w:color w:val="010000"/>
        </w:rPr>
        <w:t xml:space="preserve"> </w:t>
      </w:r>
      <w:r w:rsidRPr="00AE2806">
        <w:rPr>
          <w:rFonts w:cs="Times New Roman"/>
          <w:b/>
          <w:color w:val="010000"/>
        </w:rPr>
        <w:t>DEĞERLENDİRME</w:t>
      </w:r>
    </w:p>
    <w:p w:rsidR="00904B38" w:rsidRPr="00AE2806" w:rsidRDefault="00D46632" w:rsidP="00AE2806">
      <w:pPr>
        <w:widowControl/>
        <w:suppressAutoHyphens w:val="0"/>
        <w:spacing w:after="200"/>
        <w:ind w:left="283" w:right="283" w:firstLine="709"/>
        <w:jc w:val="both"/>
        <w:rPr>
          <w:color w:val="010000"/>
        </w:rPr>
      </w:pPr>
      <w:r w:rsidRPr="00AE2806">
        <w:rPr>
          <w:color w:val="010000"/>
        </w:rPr>
        <w:t>9.</w:t>
      </w:r>
      <w:r w:rsidR="00AE2806" w:rsidRPr="00AE2806">
        <w:rPr>
          <w:color w:val="010000"/>
        </w:rPr>
        <w:t xml:space="preserve"> </w:t>
      </w:r>
      <w:r w:rsidRPr="00AE2806">
        <w:rPr>
          <w:color w:val="010000"/>
        </w:rPr>
        <w:t>Başvurucu; hukuka aykırı gözaltı ve tutuklama tedbirlerine istinaden hükmedilen tazminatın yetersiz olması nedeniyle adil yargılanma hakkı, mülkiyet hakkı ve kişi hürriyeti ve güvenliği hakkının ihlal edildiğini ileri sürmüştür. Adalet Bakanlığı (Bakanlık) görüşünde, ilgili Anayasa Mahkemesi ve Avrupa İnsan Hakları Mahkemesi kararlarına atıf yapılarak değerlendirmenin bu içtihat doğrultusunda yapılmasının uygun olacağı ifade edilmiştir.</w:t>
      </w:r>
    </w:p>
    <w:p w:rsidR="00904B38" w:rsidRPr="00AE2806" w:rsidRDefault="00D46632" w:rsidP="00AE2806">
      <w:pPr>
        <w:pStyle w:val="edf1450279197849"/>
        <w:widowControl/>
        <w:suppressAutoHyphens w:val="0"/>
        <w:spacing w:after="200"/>
        <w:ind w:left="283" w:right="283" w:firstLine="709"/>
        <w:jc w:val="both"/>
        <w:rPr>
          <w:rFonts w:cs="Times New Roman"/>
          <w:color w:val="010000"/>
        </w:rPr>
      </w:pPr>
      <w:r w:rsidRPr="00AE2806">
        <w:rPr>
          <w:rFonts w:cs="Times New Roman"/>
          <w:color w:val="010000"/>
        </w:rPr>
        <w:t>10.</w:t>
      </w:r>
      <w:r w:rsidR="00AE2806" w:rsidRPr="00AE2806">
        <w:rPr>
          <w:rFonts w:cs="Times New Roman"/>
          <w:color w:val="010000"/>
        </w:rPr>
        <w:t xml:space="preserve"> </w:t>
      </w:r>
      <w:r w:rsidRPr="00AE2806">
        <w:rPr>
          <w:rFonts w:cs="Times New Roman"/>
          <w:color w:val="010000"/>
        </w:rPr>
        <w:t>Başvuru, kişi hürriyeti ve güvenliği hakkı kapsamında incelenmiştir.</w:t>
      </w:r>
    </w:p>
    <w:p w:rsidR="00904B38" w:rsidRPr="00AE2806" w:rsidRDefault="00D46632" w:rsidP="00AE2806">
      <w:pPr>
        <w:pStyle w:val="edf1450279197849"/>
        <w:widowControl/>
        <w:suppressAutoHyphens w:val="0"/>
        <w:spacing w:after="200"/>
        <w:ind w:left="283" w:right="283" w:firstLine="709"/>
        <w:jc w:val="both"/>
        <w:rPr>
          <w:rFonts w:cs="Times New Roman"/>
          <w:color w:val="010000"/>
        </w:rPr>
      </w:pPr>
      <w:r w:rsidRPr="00AE2806">
        <w:rPr>
          <w:rFonts w:cs="Times New Roman"/>
          <w:color w:val="010000"/>
        </w:rPr>
        <w:t xml:space="preserve">11. Anayasa Mahkemesi </w:t>
      </w:r>
      <w:r w:rsidRPr="00AE2806">
        <w:rPr>
          <w:rFonts w:cs="Times New Roman"/>
          <w:i/>
          <w:iCs/>
          <w:color w:val="010000"/>
        </w:rPr>
        <w:t>Gülseren Çıtak</w:t>
      </w:r>
      <w:r w:rsidRPr="00AE2806">
        <w:rPr>
          <w:rFonts w:cs="Times New Roman"/>
          <w:color w:val="010000"/>
        </w:rPr>
        <w:t xml:space="preserve"> ([GK], B. No: 2020/1554, 27/4/2023) kararında haklarında kovuşturmaya yer olmadığı veya beraat kararı verilenlerin 4/12/2004 tarihli ve 5271 sayılı Ceza Muhakemesi Kanunu’nun 141. maddesinde öngörülen tazminat yolunu tükettikten sonra yakalama, gözaltı veya tutuklamanın hukuki olmadığı ve ödenen tazminatın yetersiz olduğu iddiasıyla yaptıkları bireysel başvurularda başvuru yollarının tüketildiğinin kabul edilebilmesi için yalnızca 5271 sayılı Kanun'un 141. maddesinin (1) numaralı fıkrasının (e) bendi kapsamında bir tazminat davasının açılmasının yeterli olacağı sonucuna varmıştır. Zira bu hükümle yakalama, gözaltı ve tutuklamanın daha sonra verilen kovuşturmaya yer olmadığı veya beraat kararıyla hukuka aykırı hâle geldiğinin kabul edildiği, dolayısıyla 141. maddesinin (1) numaralı fıkrasının (e) bendi uyarınca açılan tazminat davalarının Anayasa’nın 19. maddesinin dokuzuncu fıkrası kapsamında olduğu değerlendirilmiştir.</w:t>
      </w:r>
      <w:r w:rsidR="00AE2806">
        <w:rPr>
          <w:rFonts w:cs="Times New Roman"/>
          <w:color w:val="010000"/>
        </w:rPr>
        <w:t xml:space="preserve"> </w:t>
      </w:r>
      <w:r w:rsidRPr="00AE2806">
        <w:rPr>
          <w:rFonts w:cs="Times New Roman"/>
          <w:color w:val="010000"/>
        </w:rPr>
        <w:t>Bu çerçevede bu bent kapsamında açılan davalarda hukuka aykırılık kanun gereğince kabul edildiğinden ağır ceza mahkemesince bu bende dayanılarak tazminat ödenmesi durumunda Anayasa’nın 19. maddesinin dokuzuncu fıkrası kapsamında yapılacak inceleme tazminat miktarının yeterli olup olmadığını belirlemekle sınırlı olacaktır (</w:t>
      </w:r>
      <w:r w:rsidRPr="00AE2806">
        <w:rPr>
          <w:rFonts w:cs="Times New Roman"/>
          <w:i/>
          <w:iCs/>
          <w:color w:val="010000"/>
        </w:rPr>
        <w:t xml:space="preserve">Gülseren Çıtak, </w:t>
      </w:r>
      <w:r w:rsidRPr="00AE2806">
        <w:rPr>
          <w:rFonts w:cs="Times New Roman"/>
          <w:color w:val="010000"/>
        </w:rPr>
        <w:t>§§ 36-39).</w:t>
      </w:r>
    </w:p>
    <w:p w:rsidR="00904B38" w:rsidRPr="00AE2806" w:rsidRDefault="00D46632" w:rsidP="00AE2806">
      <w:pPr>
        <w:widowControl/>
        <w:suppressAutoHyphens w:val="0"/>
        <w:spacing w:after="200"/>
        <w:ind w:left="283" w:right="283" w:firstLine="709"/>
        <w:jc w:val="both"/>
        <w:rPr>
          <w:color w:val="010000"/>
        </w:rPr>
      </w:pPr>
      <w:r w:rsidRPr="00AE2806">
        <w:rPr>
          <w:color w:val="010000"/>
        </w:rPr>
        <w:t>12. Açıkça dayanaktan yoksun olmayıp kabul edilemezliğine karar verilmesini gerektirecek başka bir neden de bulunmadığı anlaşılan başvurunun</w:t>
      </w:r>
      <w:r w:rsidR="00AE2806">
        <w:rPr>
          <w:color w:val="010000"/>
        </w:rPr>
        <w:t xml:space="preserve"> </w:t>
      </w:r>
      <w:r w:rsidRPr="00AE2806">
        <w:rPr>
          <w:color w:val="010000"/>
        </w:rPr>
        <w:t xml:space="preserve">kabul edilebilir olduğuna karar verilmesi gerekir. </w:t>
      </w:r>
    </w:p>
    <w:p w:rsidR="00904B38" w:rsidRPr="00AE2806" w:rsidRDefault="00D46632" w:rsidP="00AE2806">
      <w:pPr>
        <w:widowControl/>
        <w:suppressAutoHyphens w:val="0"/>
        <w:spacing w:after="200"/>
        <w:ind w:left="283" w:right="283" w:firstLine="709"/>
        <w:jc w:val="both"/>
        <w:rPr>
          <w:color w:val="010000"/>
        </w:rPr>
      </w:pPr>
      <w:r w:rsidRPr="00AE2806">
        <w:rPr>
          <w:color w:val="010000"/>
        </w:rPr>
        <w:t>13.</w:t>
      </w:r>
      <w:r w:rsidR="00AE2806" w:rsidRPr="00AE2806">
        <w:rPr>
          <w:color w:val="010000"/>
        </w:rPr>
        <w:t xml:space="preserve"> </w:t>
      </w:r>
      <w:r w:rsidRPr="00AE2806">
        <w:rPr>
          <w:color w:val="010000"/>
        </w:rPr>
        <w:t>Somut olayda Bursa 13. Ağır Ceza Mahkemesi başvurucunun kamu görevlisi olduğunu, gözaltı ve tutuklulukta kaldığı süre boyunca maaşını kesintili olarak aldığını, kesilen kısımların ise göreve iade sonrasında kendisine ödendiğini belirterek bu nedenle başvurucunun maddi olarak zarar görmediğini vurgulamış ve maddi tazminat talebini reddetmiştir. Yargı makamınca bilirkişi raporu doğrultusunda maddi tazminat talebine ilişkin ulaşılan bu sonucun davanın koşullarında orantısız olduğu söylenemeyecektir.</w:t>
      </w:r>
    </w:p>
    <w:p w:rsidR="00904B38" w:rsidRPr="00AE2806" w:rsidRDefault="00D46632" w:rsidP="00AE2806">
      <w:pPr>
        <w:widowControl/>
        <w:suppressAutoHyphens w:val="0"/>
        <w:spacing w:after="200"/>
        <w:ind w:left="283" w:right="283" w:firstLine="709"/>
        <w:jc w:val="both"/>
        <w:rPr>
          <w:color w:val="010000"/>
        </w:rPr>
      </w:pPr>
      <w:r w:rsidRPr="00AE2806">
        <w:rPr>
          <w:color w:val="010000"/>
        </w:rPr>
        <w:t>14. Manevi tazminat talebine ilişkin olarak ise başvurucuya nihai olarak 6.000 TL tutarında tazminat ödenmesine hükmedilmiş olup başvuruda yapılacak inceleme bu tazminat miktarının yeterliliğini belirlemekle sınırlı olacaktır (</w:t>
      </w:r>
      <w:r w:rsidRPr="00AE2806">
        <w:rPr>
          <w:i/>
          <w:iCs/>
          <w:color w:val="010000"/>
        </w:rPr>
        <w:t>M.E.</w:t>
      </w:r>
      <w:r w:rsidRPr="00AE2806">
        <w:rPr>
          <w:color w:val="010000"/>
        </w:rPr>
        <w:t>, B. No: 2018/696, 9/5/2019, § 47).</w:t>
      </w:r>
    </w:p>
    <w:p w:rsidR="00904B38" w:rsidRPr="00AE2806" w:rsidRDefault="00D46632" w:rsidP="00AE2806">
      <w:pPr>
        <w:widowControl/>
        <w:suppressAutoHyphens w:val="0"/>
        <w:spacing w:after="200"/>
        <w:ind w:left="283" w:right="283" w:firstLine="709"/>
        <w:jc w:val="both"/>
        <w:rPr>
          <w:color w:val="010000"/>
        </w:rPr>
      </w:pPr>
      <w:r w:rsidRPr="00AE2806">
        <w:rPr>
          <w:color w:val="010000"/>
        </w:rPr>
        <w:t>15.</w:t>
      </w:r>
      <w:r w:rsidR="00AE2806" w:rsidRPr="00AE2806">
        <w:rPr>
          <w:color w:val="010000"/>
        </w:rPr>
        <w:t xml:space="preserve"> </w:t>
      </w:r>
      <w:r w:rsidRPr="00AE2806">
        <w:rPr>
          <w:color w:val="010000"/>
        </w:rPr>
        <w:t>Yargı mercilerinin tazminat taleplerine yönelik somut olayın şartlarına göre takdir yetkisi bulunmakla birlikte meydana gelen ihlalle orantılı olmayan önemsiz miktarda bir tazminat tutarı Anayasa'nın 19. maddesinin dokuzuncu fıkrasına aykırı olacaktır. Öte yandan tazminat miktarı Anayasa Mahkemesinin benzer davalarda verdiği tazminat miktarına göre kayda değer ölçüde düşük olmamalıdır. Bununla birlikte hükmedilen miktarın Anayasa Mahkemesinin benzer durumlarda verilmesine hükmettiği tazminat miktarından belirli ölçüde düşük olması tek başına Anayasa'nın 19. maddesinin dokuzuncu fıkrasının ihlal edildiği anlamına gelmez. Tazminatın Anayasa'nın 19. maddesinin dokuzuncu fıkrasıyla uyumlu olup olmadığı değerlendirilirken somut olayın kendine özgü şartlarının dikkate alınması gerekir (</w:t>
      </w:r>
      <w:r w:rsidRPr="00AE2806">
        <w:rPr>
          <w:i/>
          <w:iCs/>
          <w:color w:val="010000"/>
        </w:rPr>
        <w:t>M.E.</w:t>
      </w:r>
      <w:r w:rsidRPr="00AE2806">
        <w:rPr>
          <w:color w:val="010000"/>
        </w:rPr>
        <w:t>, § 48).</w:t>
      </w:r>
    </w:p>
    <w:p w:rsidR="00904B38" w:rsidRPr="00AE2806" w:rsidRDefault="00D46632" w:rsidP="00AE2806">
      <w:pPr>
        <w:widowControl/>
        <w:suppressAutoHyphens w:val="0"/>
        <w:spacing w:after="200"/>
        <w:ind w:left="283" w:right="283" w:firstLine="709"/>
        <w:jc w:val="both"/>
        <w:rPr>
          <w:color w:val="010000"/>
        </w:rPr>
      </w:pPr>
      <w:r w:rsidRPr="00AE2806">
        <w:rPr>
          <w:color w:val="010000"/>
        </w:rPr>
        <w:lastRenderedPageBreak/>
        <w:t>16.</w:t>
      </w:r>
      <w:r w:rsidR="00AE2806" w:rsidRPr="00AE2806">
        <w:rPr>
          <w:color w:val="010000"/>
        </w:rPr>
        <w:t xml:space="preserve"> </w:t>
      </w:r>
      <w:r w:rsidRPr="00AE2806">
        <w:rPr>
          <w:color w:val="010000"/>
        </w:rPr>
        <w:t>Manevi tazminat miktarının yeterli olup olmadığı belirlenirken tazminata karar veren yargı makamının karar tarihinde Anayasa Mahkemesinin benzer başvurular üzerine verdiği veya verebileceği tazminat miktarına göre bir karşılaştırma yapılacaktır. Anayasa Mahkemesince yakalama, gözaltı veya tutuklamanın hukuki olmaması nedeniyle manevi tazminata hükmedilirken kişinin sosyal ve ekonomik durumu, mesleki ve toplumsal konumu, üzerine atılı suçun niteliği, koruma tedbirine neden olan olayın cereyan tarzı, tedbirin kişinin üzerinde bıraktığı olumsuz etkiler ve tedbirin süresi, tedbir nedeniyle meydana gelen ihlalin ağırlığı dikkate alınmaktadır (</w:t>
      </w:r>
      <w:r w:rsidRPr="00AE2806">
        <w:rPr>
          <w:i/>
          <w:iCs/>
          <w:color w:val="010000"/>
        </w:rPr>
        <w:t>Siyami Hıdıroğlu</w:t>
      </w:r>
      <w:r w:rsidRPr="00AE2806">
        <w:rPr>
          <w:color w:val="010000"/>
        </w:rPr>
        <w:t>, B. No: 2018/11489, 11/1/2024, § 35).</w:t>
      </w:r>
    </w:p>
    <w:p w:rsidR="00904B38" w:rsidRPr="00AE2806" w:rsidRDefault="00D46632" w:rsidP="00AE2806">
      <w:pPr>
        <w:widowControl/>
        <w:suppressAutoHyphens w:val="0"/>
        <w:spacing w:after="200"/>
        <w:ind w:left="283" w:right="283" w:firstLine="709"/>
        <w:jc w:val="both"/>
        <w:rPr>
          <w:color w:val="010000"/>
        </w:rPr>
      </w:pPr>
      <w:r w:rsidRPr="00AE2806">
        <w:rPr>
          <w:color w:val="010000"/>
        </w:rPr>
        <w:t>17.</w:t>
      </w:r>
      <w:r w:rsidR="00AE2806" w:rsidRPr="00AE2806">
        <w:rPr>
          <w:color w:val="010000"/>
        </w:rPr>
        <w:t xml:space="preserve"> </w:t>
      </w:r>
      <w:r w:rsidRPr="00AE2806">
        <w:rPr>
          <w:color w:val="010000"/>
        </w:rPr>
        <w:t>Ödenmesine karar verilen tazminatın Anayasa Mahkemesinin benzer durumlarda verilmesine hükmettiği tazminat miktarıyla aynı olması gerekmemekle birlikte somut olayın şartlarında 6.000 TL tutarındaki miktarın tazminat hakkının özünü zayıflatacak kadar düşük olduğu anlaşılmıştır (Anayasa Mahkemesinin gözaltı tedbirinin hukukiliği ile ilgili iddialarda bir günlük gözaltı süresi için hükmettiği tazminat miktarı nihai karar tarihi olan 2020 yılı için asgari 600 TL, ortalama 1.600 TL, azami 4.000 TL'dir. 2025 yılı için asgari tutar 3.330 TL'dir. Tutuklama tedbirinin hukukiliğiyle ilgili iddialarda ise hükmettiği tazminat miktarı nihai karar tarihi olan 2020 yılı için asgari 30.000 TL, ortalama 80.000 TL, azami 200.000 TL'dir. 2025 yılı için asgari tutar 166.500 TL'dir.) Buna göre başvurucuya ödenmesine hükmedilen tazminatın başvurucunun Anayasa'nın 19. maddesinin üçüncü fıkrasında yer alan esaslara aykırı bir durum söz konusu olmasına rağmen manevi zararını karşılamaktan uzak olduğu sonucuna varılmıştır.</w:t>
      </w:r>
    </w:p>
    <w:p w:rsidR="00904B38" w:rsidRPr="00AE2806" w:rsidRDefault="00D46632" w:rsidP="00AE2806">
      <w:pPr>
        <w:widowControl/>
        <w:suppressAutoHyphens w:val="0"/>
        <w:spacing w:after="200"/>
        <w:ind w:left="283" w:right="283" w:firstLine="709"/>
        <w:jc w:val="both"/>
        <w:rPr>
          <w:color w:val="010000"/>
        </w:rPr>
      </w:pPr>
      <w:r w:rsidRPr="00AE2806">
        <w:rPr>
          <w:color w:val="010000"/>
        </w:rPr>
        <w:t>18.</w:t>
      </w:r>
      <w:r w:rsidR="00AE2806" w:rsidRPr="00AE2806">
        <w:rPr>
          <w:color w:val="010000"/>
        </w:rPr>
        <w:t xml:space="preserve"> </w:t>
      </w:r>
      <w:r w:rsidRPr="00AE2806">
        <w:rPr>
          <w:color w:val="010000"/>
        </w:rPr>
        <w:t>Açıklanan gerekçelerle Anayasa'nın 19. maddesinin üçüncü fıkrasıyla bağlantılı olarak dokuzuncu fıkrasının ihlal edildiğine karar verilmesi gerekir.</w:t>
      </w:r>
    </w:p>
    <w:p w:rsidR="00904B38" w:rsidRPr="00AE2806" w:rsidRDefault="00D46632" w:rsidP="00AE2806">
      <w:pPr>
        <w:pStyle w:val="edf1450279197849"/>
        <w:widowControl/>
        <w:suppressAutoHyphens w:val="0"/>
        <w:spacing w:after="200"/>
        <w:ind w:left="283" w:right="283" w:firstLine="709"/>
        <w:jc w:val="both"/>
        <w:rPr>
          <w:rFonts w:cs="Times New Roman"/>
          <w:color w:val="010000"/>
        </w:rPr>
      </w:pPr>
      <w:r w:rsidRPr="00AE2806">
        <w:rPr>
          <w:rFonts w:cs="Times New Roman"/>
          <w:b/>
          <w:color w:val="010000"/>
        </w:rPr>
        <w:t>III.</w:t>
      </w:r>
      <w:r w:rsidR="00AE2806" w:rsidRPr="00AE2806">
        <w:rPr>
          <w:rFonts w:cs="Times New Roman"/>
          <w:color w:val="010000"/>
        </w:rPr>
        <w:t xml:space="preserve"> </w:t>
      </w:r>
      <w:r w:rsidRPr="00AE2806">
        <w:rPr>
          <w:rFonts w:cs="Times New Roman"/>
          <w:b/>
          <w:color w:val="010000"/>
        </w:rPr>
        <w:t xml:space="preserve">GİDERİM </w:t>
      </w:r>
    </w:p>
    <w:p w:rsidR="00904B38" w:rsidRPr="00AE2806" w:rsidRDefault="00D46632" w:rsidP="00AE2806">
      <w:pPr>
        <w:pStyle w:val="edf1450279197849"/>
        <w:widowControl/>
        <w:suppressAutoHyphens w:val="0"/>
        <w:spacing w:after="200"/>
        <w:ind w:left="283" w:right="283" w:firstLine="709"/>
        <w:jc w:val="both"/>
        <w:rPr>
          <w:rFonts w:cs="Times New Roman"/>
          <w:color w:val="010000"/>
        </w:rPr>
      </w:pPr>
      <w:r w:rsidRPr="00AE2806">
        <w:rPr>
          <w:rFonts w:cs="Times New Roman"/>
          <w:color w:val="010000"/>
        </w:rPr>
        <w:t>19.</w:t>
      </w:r>
      <w:r w:rsidR="00AE2806" w:rsidRPr="00AE2806">
        <w:rPr>
          <w:rFonts w:cs="Times New Roman"/>
          <w:color w:val="010000"/>
        </w:rPr>
        <w:t xml:space="preserve"> </w:t>
      </w:r>
      <w:r w:rsidRPr="00AE2806">
        <w:rPr>
          <w:rFonts w:cs="Times New Roman"/>
          <w:color w:val="010000"/>
        </w:rPr>
        <w:t>Başvurucu, 20.000 TL maddi, 20.000 TL manevi tazminat talebinde bulunmuştur.</w:t>
      </w:r>
    </w:p>
    <w:p w:rsidR="00904B38" w:rsidRPr="00AE2806" w:rsidRDefault="00D46632" w:rsidP="00AE2806">
      <w:pPr>
        <w:pStyle w:val="edf1450279197849"/>
        <w:widowControl/>
        <w:suppressAutoHyphens w:val="0"/>
        <w:spacing w:after="200"/>
        <w:ind w:left="283" w:right="283" w:firstLine="709"/>
        <w:jc w:val="both"/>
        <w:rPr>
          <w:rFonts w:cs="Times New Roman"/>
          <w:color w:val="010000"/>
        </w:rPr>
      </w:pPr>
      <w:r w:rsidRPr="00AE2806">
        <w:rPr>
          <w:rFonts w:cs="Times New Roman"/>
          <w:color w:val="010000"/>
        </w:rPr>
        <w:t>20.</w:t>
      </w:r>
      <w:r w:rsidR="00AE2806" w:rsidRPr="00AE2806">
        <w:rPr>
          <w:rFonts w:cs="Times New Roman"/>
          <w:color w:val="010000"/>
        </w:rPr>
        <w:t xml:space="preserve"> </w:t>
      </w:r>
      <w:r w:rsidRPr="00AE2806">
        <w:rPr>
          <w:rFonts w:cs="Times New Roman"/>
          <w:color w:val="010000"/>
        </w:rPr>
        <w:t>Anayasa Mahkemesince yapılan inceleme sonucunda Anayasa'nın 19. maddesinin -üçüncü fıkrasıyla bağlantılı olarak- dokuzuncu fıkrasının ihlal edildiğine karar verilmiştir. Bu itibarla ihlalin mahkeme kararından kaynaklandığı anlaşılmıştır.</w:t>
      </w:r>
      <w:r w:rsidR="00AE2806" w:rsidRPr="00AE2806">
        <w:rPr>
          <w:rFonts w:cs="Times New Roman"/>
          <w:color w:val="010000"/>
        </w:rPr>
        <w:t xml:space="preserve"> </w:t>
      </w:r>
      <w:r w:rsidRPr="00AE2806">
        <w:rPr>
          <w:rFonts w:cs="Times New Roman"/>
          <w:color w:val="010000"/>
        </w:rPr>
        <w:t>Bu</w:t>
      </w:r>
      <w:r w:rsidR="00AE2806">
        <w:rPr>
          <w:rFonts w:cs="Times New Roman"/>
          <w:color w:val="010000"/>
        </w:rPr>
        <w:t xml:space="preserve"> </w:t>
      </w:r>
      <w:r w:rsidRPr="00AE2806">
        <w:rPr>
          <w:rFonts w:cs="Times New Roman"/>
          <w:color w:val="010000"/>
        </w:rPr>
        <w:t>nedenle başvuruda tespit edilen söz konusu hak ihlalinin sonuçlarının ortadan kaldırılması için yeniden yargılama yapılmasında hukuki yarar bulunmaktadır. Kararın gönderildiği yargı mercilerince yapılması gereken iş, yeniden yargılama işlemlerini başlatmak ve Anayasa Mahkemesini ihlal sonucuna ulaştıran nedenleri gideren, ihlal kararında belirtilen ilkelere uygun yeni bir karar vermektir (</w:t>
      </w:r>
      <w:r w:rsidRPr="00AE2806">
        <w:rPr>
          <w:rFonts w:cs="Times New Roman"/>
          <w:i/>
          <w:iCs/>
          <w:color w:val="010000"/>
        </w:rPr>
        <w:t xml:space="preserve">Mehmet Doğan </w:t>
      </w:r>
      <w:r w:rsidRPr="00AE2806">
        <w:rPr>
          <w:rFonts w:cs="Times New Roman"/>
          <w:color w:val="010000"/>
        </w:rPr>
        <w:t xml:space="preserve">[GK], B. No: 2014/8875, 7/6/2018, §§ 54-60; </w:t>
      </w:r>
      <w:proofErr w:type="spellStart"/>
      <w:r w:rsidRPr="00AE2806">
        <w:rPr>
          <w:rFonts w:cs="Times New Roman"/>
          <w:i/>
          <w:iCs/>
          <w:color w:val="010000"/>
        </w:rPr>
        <w:t>Aligül</w:t>
      </w:r>
      <w:proofErr w:type="spellEnd"/>
      <w:r w:rsidRPr="00AE2806">
        <w:rPr>
          <w:rFonts w:cs="Times New Roman"/>
          <w:i/>
          <w:iCs/>
          <w:color w:val="010000"/>
        </w:rPr>
        <w:t xml:space="preserve"> Alkaya ve diğerleri (2)</w:t>
      </w:r>
      <w:r w:rsidRPr="00AE2806">
        <w:rPr>
          <w:rFonts w:cs="Times New Roman"/>
          <w:color w:val="010000"/>
        </w:rPr>
        <w:t xml:space="preserve">, B. No: 2016/12506, 7/11/2019, §§ 53-60, 66; </w:t>
      </w:r>
      <w:r w:rsidRPr="00AE2806">
        <w:rPr>
          <w:rFonts w:cs="Times New Roman"/>
          <w:i/>
          <w:iCs/>
          <w:color w:val="010000"/>
        </w:rPr>
        <w:t>Kadri Enis Berberoğlu (3)</w:t>
      </w:r>
      <w:r w:rsidRPr="00AE2806">
        <w:rPr>
          <w:rFonts w:cs="Times New Roman"/>
          <w:color w:val="010000"/>
        </w:rPr>
        <w:t xml:space="preserve"> [GK], B. No: 2020/32949, 21/1/2021, §§ 93-100). Öte yandan eğer tedbir veya dava tarihinden itibaren tazminat ödenmesine hükmedilecek ise tazminat miktarı -işleyecek faiziyle birlikte- Anayasa Mahkemesince benzer durumlarda hükmedilen tazminat miktarıyla uyumlu olmalıdır.</w:t>
      </w:r>
    </w:p>
    <w:p w:rsidR="00904B38" w:rsidRPr="00AE2806" w:rsidRDefault="00D46632" w:rsidP="00AE2806">
      <w:pPr>
        <w:pStyle w:val="edf1450279197849"/>
        <w:widowControl/>
        <w:suppressAutoHyphens w:val="0"/>
        <w:spacing w:after="200"/>
        <w:ind w:left="283" w:right="283" w:firstLine="709"/>
        <w:jc w:val="both"/>
        <w:rPr>
          <w:rFonts w:cs="Times New Roman"/>
          <w:color w:val="010000"/>
        </w:rPr>
      </w:pPr>
      <w:r w:rsidRPr="00AE2806">
        <w:rPr>
          <w:rFonts w:cs="Times New Roman"/>
          <w:color w:val="010000"/>
        </w:rPr>
        <w:t>21.</w:t>
      </w:r>
      <w:r w:rsidR="00AE2806" w:rsidRPr="00AE2806">
        <w:rPr>
          <w:rFonts w:cs="Times New Roman"/>
          <w:color w:val="010000"/>
        </w:rPr>
        <w:t xml:space="preserve"> </w:t>
      </w:r>
      <w:r w:rsidRPr="00AE2806">
        <w:rPr>
          <w:rFonts w:cs="Times New Roman"/>
          <w:color w:val="010000"/>
        </w:rPr>
        <w:t>İhlalin ve sonuçlarının ortadan kaldırılması için yeniden yargılamanın yeterli bir giderim sağlayacağı anlaşıldığından tazminat taleplerinin reddine karar verilmesi gerekir.</w:t>
      </w:r>
    </w:p>
    <w:p w:rsidR="00AE2806" w:rsidRDefault="00AE2806" w:rsidP="00AE2806">
      <w:pPr>
        <w:pStyle w:val="edf1450279197849"/>
        <w:widowControl/>
        <w:suppressAutoHyphens w:val="0"/>
        <w:spacing w:after="200"/>
        <w:ind w:left="283" w:right="283" w:firstLine="709"/>
        <w:jc w:val="both"/>
        <w:rPr>
          <w:rFonts w:cs="Times New Roman"/>
          <w:b/>
          <w:color w:val="010000"/>
        </w:rPr>
      </w:pPr>
    </w:p>
    <w:p w:rsidR="00AE2806" w:rsidRDefault="00AE2806" w:rsidP="00AE2806">
      <w:pPr>
        <w:pStyle w:val="edf1450279197849"/>
        <w:widowControl/>
        <w:suppressAutoHyphens w:val="0"/>
        <w:spacing w:after="200"/>
        <w:ind w:left="283" w:right="283" w:firstLine="709"/>
        <w:jc w:val="both"/>
        <w:rPr>
          <w:rFonts w:cs="Times New Roman"/>
          <w:b/>
          <w:color w:val="010000"/>
        </w:rPr>
      </w:pPr>
    </w:p>
    <w:p w:rsidR="00AE2806" w:rsidRDefault="00AE2806" w:rsidP="00AE2806">
      <w:pPr>
        <w:pStyle w:val="edf1450279197849"/>
        <w:widowControl/>
        <w:suppressAutoHyphens w:val="0"/>
        <w:spacing w:after="200"/>
        <w:ind w:left="283" w:right="283" w:firstLine="709"/>
        <w:jc w:val="both"/>
        <w:rPr>
          <w:rFonts w:cs="Times New Roman"/>
          <w:b/>
          <w:color w:val="010000"/>
        </w:rPr>
      </w:pPr>
    </w:p>
    <w:p w:rsidR="00904B38" w:rsidRPr="00AE2806" w:rsidRDefault="00D46632" w:rsidP="00AE2806">
      <w:pPr>
        <w:pStyle w:val="edf1450279197849"/>
        <w:widowControl/>
        <w:suppressAutoHyphens w:val="0"/>
        <w:spacing w:after="200"/>
        <w:ind w:left="283" w:right="283" w:firstLine="709"/>
        <w:jc w:val="both"/>
        <w:rPr>
          <w:rFonts w:cs="Times New Roman"/>
          <w:color w:val="010000"/>
        </w:rPr>
      </w:pPr>
      <w:r w:rsidRPr="00AE2806">
        <w:rPr>
          <w:rFonts w:cs="Times New Roman"/>
          <w:b/>
          <w:color w:val="010000"/>
        </w:rPr>
        <w:lastRenderedPageBreak/>
        <w:t>IV.</w:t>
      </w:r>
      <w:r w:rsidR="00AE2806" w:rsidRPr="00AE2806">
        <w:rPr>
          <w:rFonts w:cs="Times New Roman"/>
          <w:color w:val="010000"/>
        </w:rPr>
        <w:t xml:space="preserve"> </w:t>
      </w:r>
      <w:r w:rsidRPr="00AE2806">
        <w:rPr>
          <w:rFonts w:cs="Times New Roman"/>
          <w:b/>
          <w:color w:val="010000"/>
        </w:rPr>
        <w:t>HÜKÜM</w:t>
      </w:r>
    </w:p>
    <w:p w:rsidR="00904B38" w:rsidRPr="00AE2806" w:rsidRDefault="00D46632" w:rsidP="00AE2806">
      <w:pPr>
        <w:widowControl/>
        <w:suppressAutoHyphens w:val="0"/>
        <w:spacing w:after="200"/>
        <w:ind w:left="283" w:right="283" w:firstLine="709"/>
        <w:jc w:val="both"/>
        <w:rPr>
          <w:color w:val="010000"/>
        </w:rPr>
      </w:pPr>
      <w:r w:rsidRPr="00AE2806">
        <w:rPr>
          <w:color w:val="010000"/>
        </w:rPr>
        <w:t>Açıklanan gerekçelerle;</w:t>
      </w:r>
    </w:p>
    <w:p w:rsidR="00AE2806" w:rsidRDefault="00AE2806" w:rsidP="00AE2806">
      <w:pPr>
        <w:widowControl/>
        <w:suppressAutoHyphens w:val="0"/>
        <w:spacing w:after="200"/>
        <w:ind w:left="283" w:right="283" w:firstLine="709"/>
        <w:jc w:val="both"/>
        <w:rPr>
          <w:color w:val="010000"/>
        </w:rPr>
      </w:pPr>
      <w:r>
        <w:rPr>
          <w:color w:val="010000"/>
        </w:rPr>
        <w:t>A. Kişi hürriyeti ve güvenliği hakkının ihlal edildiğine ilişkin iddianın KABUL EDİLEBİLİR OLDUĞUNA,</w:t>
      </w:r>
    </w:p>
    <w:p w:rsidR="00904B38" w:rsidRPr="00AE2806" w:rsidRDefault="00D46632" w:rsidP="00AE2806">
      <w:pPr>
        <w:widowControl/>
        <w:suppressAutoHyphens w:val="0"/>
        <w:spacing w:after="200"/>
        <w:ind w:left="283" w:right="283" w:firstLine="709"/>
        <w:jc w:val="both"/>
        <w:rPr>
          <w:color w:val="010000"/>
        </w:rPr>
      </w:pPr>
      <w:r w:rsidRPr="00AE2806">
        <w:rPr>
          <w:color w:val="010000"/>
        </w:rPr>
        <w:t>B.</w:t>
      </w:r>
      <w:r w:rsidR="00AE2806" w:rsidRPr="00AE2806">
        <w:rPr>
          <w:color w:val="010000"/>
        </w:rPr>
        <w:t xml:space="preserve"> </w:t>
      </w:r>
      <w:r w:rsidRPr="00AE2806">
        <w:rPr>
          <w:color w:val="010000"/>
        </w:rPr>
        <w:t>Anayasa'nın 19. maddesinin -üçüncü fıkrasıyla bağlantılı olarak- dokuzuncu fıkrasında güvence altına alınan kişi hürriyeti ve güvenliği hakkının İHLAL EDİLDİĞİNE,</w:t>
      </w:r>
    </w:p>
    <w:p w:rsidR="00904B38" w:rsidRPr="00AE2806" w:rsidRDefault="00D46632" w:rsidP="00AE2806">
      <w:pPr>
        <w:widowControl/>
        <w:suppressAutoHyphens w:val="0"/>
        <w:spacing w:after="200"/>
        <w:ind w:left="283" w:right="283" w:firstLine="709"/>
        <w:jc w:val="both"/>
        <w:rPr>
          <w:color w:val="010000"/>
        </w:rPr>
      </w:pPr>
      <w:r w:rsidRPr="00AE2806">
        <w:rPr>
          <w:color w:val="010000"/>
        </w:rPr>
        <w:t>C.</w:t>
      </w:r>
      <w:r w:rsidR="00AE2806" w:rsidRPr="00AE2806">
        <w:rPr>
          <w:color w:val="010000"/>
        </w:rPr>
        <w:t xml:space="preserve"> </w:t>
      </w:r>
      <w:r w:rsidRPr="00AE2806">
        <w:rPr>
          <w:color w:val="010000"/>
        </w:rPr>
        <w:t>Kararın bir örneğinin kişi hürriyeti ve güvenliği hakkının ihlalinin sonuçlarının ortadan kaldırılması için yeniden yargılama yapılmak üzere Bursa 13. Ağır Ceza Mahkemesine (E.2019/145, K.2019/210) GÖNDERİLMESİNE,</w:t>
      </w:r>
    </w:p>
    <w:p w:rsidR="00904B38" w:rsidRPr="00AE2806" w:rsidRDefault="00D46632" w:rsidP="00AE2806">
      <w:pPr>
        <w:widowControl/>
        <w:suppressAutoHyphens w:val="0"/>
        <w:spacing w:after="200"/>
        <w:ind w:left="283" w:right="283" w:firstLine="709"/>
        <w:jc w:val="both"/>
        <w:rPr>
          <w:color w:val="010000"/>
        </w:rPr>
      </w:pPr>
      <w:r w:rsidRPr="00AE2806">
        <w:rPr>
          <w:color w:val="010000"/>
        </w:rPr>
        <w:t>D.</w:t>
      </w:r>
      <w:r w:rsidR="00AE2806" w:rsidRPr="00AE2806">
        <w:rPr>
          <w:color w:val="010000"/>
        </w:rPr>
        <w:t xml:space="preserve"> </w:t>
      </w:r>
      <w:r w:rsidRPr="00AE2806">
        <w:rPr>
          <w:color w:val="010000"/>
        </w:rPr>
        <w:t>Başvurucunun tazminat taleplerinin REDDİNE,</w:t>
      </w:r>
    </w:p>
    <w:p w:rsidR="00904B38" w:rsidRPr="00AE2806" w:rsidRDefault="00D46632" w:rsidP="00AE2806">
      <w:pPr>
        <w:widowControl/>
        <w:suppressAutoHyphens w:val="0"/>
        <w:spacing w:after="200"/>
        <w:ind w:left="283" w:right="283" w:firstLine="709"/>
        <w:jc w:val="both"/>
        <w:rPr>
          <w:color w:val="010000"/>
        </w:rPr>
      </w:pPr>
      <w:r w:rsidRPr="00AE2806">
        <w:rPr>
          <w:color w:val="010000"/>
        </w:rPr>
        <w:t>E.</w:t>
      </w:r>
      <w:r w:rsidR="00AE2806" w:rsidRPr="00AE2806">
        <w:rPr>
          <w:color w:val="010000"/>
        </w:rPr>
        <w:t xml:space="preserve"> </w:t>
      </w:r>
      <w:r w:rsidRPr="00AE2806">
        <w:rPr>
          <w:color w:val="010000"/>
        </w:rPr>
        <w:t>446,90 TL harç ve 30.000 TL vekâlet ücretinden oluşan toplam 30.446,90 TL yargılama giderinin başvurucuya ÖDENMESİNE,</w:t>
      </w:r>
    </w:p>
    <w:p w:rsidR="00904B38" w:rsidRPr="00AE2806" w:rsidRDefault="00D46632" w:rsidP="00AE2806">
      <w:pPr>
        <w:widowControl/>
        <w:suppressAutoHyphens w:val="0"/>
        <w:spacing w:after="200"/>
        <w:ind w:left="283" w:right="283" w:firstLine="709"/>
        <w:jc w:val="both"/>
        <w:rPr>
          <w:color w:val="010000"/>
        </w:rPr>
      </w:pPr>
      <w:r w:rsidRPr="00AE2806">
        <w:rPr>
          <w:color w:val="010000"/>
        </w:rPr>
        <w:t>F.</w:t>
      </w:r>
      <w:r w:rsidR="00AE2806" w:rsidRPr="00AE2806">
        <w:rPr>
          <w:color w:val="010000"/>
        </w:rPr>
        <w:t xml:space="preserve"> </w:t>
      </w:r>
      <w:r w:rsidRPr="00AE2806">
        <w:rPr>
          <w:color w:val="010000"/>
        </w:rPr>
        <w:t>Ödemelerin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904B38" w:rsidRPr="00AE2806" w:rsidRDefault="00D46632" w:rsidP="00AE2806">
      <w:pPr>
        <w:pStyle w:val="edf1450279197849"/>
        <w:widowControl/>
        <w:suppressAutoHyphens w:val="0"/>
        <w:spacing w:after="200"/>
        <w:ind w:left="283" w:right="283" w:firstLine="709"/>
        <w:jc w:val="both"/>
        <w:rPr>
          <w:rFonts w:cs="Times New Roman"/>
          <w:color w:val="010000"/>
        </w:rPr>
      </w:pPr>
      <w:r w:rsidRPr="00AE2806">
        <w:rPr>
          <w:rFonts w:cs="Times New Roman"/>
          <w:color w:val="010000"/>
        </w:rPr>
        <w:t>G.</w:t>
      </w:r>
      <w:r w:rsidR="00AE2806" w:rsidRPr="00AE2806">
        <w:rPr>
          <w:rFonts w:cs="Times New Roman"/>
          <w:color w:val="010000"/>
        </w:rPr>
        <w:t xml:space="preserve"> </w:t>
      </w:r>
      <w:r w:rsidRPr="00AE2806">
        <w:rPr>
          <w:rFonts w:cs="Times New Roman"/>
          <w:color w:val="010000"/>
        </w:rPr>
        <w:t>Kararın bir örneğinin Adalet Bakanlığına GÖNDERİLMESİNE 26/3/2025 tarihinde OYBİRLİĞİYLE karar verildi.</w:t>
      </w:r>
    </w:p>
    <w:sectPr w:rsidR="00904B38" w:rsidRPr="00AE2806" w:rsidSect="00AE2806">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04B38" w:rsidRDefault="00D46632">
      <w:r>
        <w:separator/>
      </w:r>
    </w:p>
  </w:endnote>
  <w:endnote w:type="continuationSeparator" w:id="0">
    <w:p w:rsidR="00904B38" w:rsidRDefault="00D466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4B38" w:rsidRDefault="00D46632">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5</w:t>
    </w:r>
    <w:r>
      <w:rPr>
        <w:rFonts w:ascii="Arial" w:hAnsi="Arial"/>
        <w:color w:val="000000"/>
        <w:sz w:val="22"/>
      </w:rPr>
      <w:fldChar w:fldCharType="end"/>
    </w:r>
  </w:p>
  <w:p w:rsidR="00904B38" w:rsidRDefault="00904B38">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04B38" w:rsidRDefault="00D46632">
      <w:r>
        <w:separator/>
      </w:r>
    </w:p>
  </w:footnote>
  <w:footnote w:type="continuationSeparator" w:id="0">
    <w:p w:rsidR="00904B38" w:rsidRDefault="00D466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4B38" w:rsidRDefault="00D46632">
    <w:pPr>
      <w:pStyle w:val="stBilgi"/>
      <w:tabs>
        <w:tab w:val="left" w:pos="2040"/>
      </w:tabs>
      <w:spacing w:line="288" w:lineRule="exact"/>
    </w:pPr>
    <w:r>
      <w:t>Başvuru Numarası</w:t>
    </w:r>
    <w:r>
      <w:tab/>
      <w:t>: 2020/25232</w:t>
    </w:r>
  </w:p>
  <w:p w:rsidR="00904B38" w:rsidRDefault="00D46632">
    <w:pPr>
      <w:pStyle w:val="stBilgi"/>
      <w:tabs>
        <w:tab w:val="left" w:pos="2040"/>
      </w:tabs>
      <w:spacing w:line="288" w:lineRule="exact"/>
    </w:pPr>
    <w:r>
      <w:t>Karar Tarihi</w:t>
    </w:r>
    <w:r>
      <w:tab/>
      <w:t xml:space="preserve">: 26/3/2025 </w:t>
    </w:r>
  </w:p>
  <w:p w:rsidR="00AE2806" w:rsidRDefault="00AE2806">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6632"/>
    <w:rsid w:val="00904B38"/>
    <w:rsid w:val="00AE2806"/>
    <w:rsid w:val="00D4663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5C29DA94"/>
  <w15:chartTrackingRefBased/>
  <w15:docId w15:val="{8E597C85-CB07-49A0-8717-7D40FEF7FA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425685639672">
    <w:name w:val="edf_1425685639672"/>
    <w:pPr>
      <w:widowControl w:val="0"/>
      <w:suppressAutoHyphens/>
    </w:pPr>
    <w:rPr>
      <w:rFonts w:eastAsia="Andale Sans UI" w:cs="Tahoma"/>
      <w:kern w:val="2"/>
      <w:sz w:val="24"/>
      <w:szCs w:val="24"/>
      <w:lang w:eastAsia="ja-JP" w:bidi="fa-IR"/>
    </w:rPr>
  </w:style>
  <w:style w:type="paragraph" w:customStyle="1" w:styleId="edf1474359663766">
    <w:name w:val="edf_1474359663766"/>
    <w:pPr>
      <w:widowControl w:val="0"/>
      <w:suppressAutoHyphens/>
    </w:pPr>
    <w:rPr>
      <w:rFonts w:eastAsia="Andale Sans UI" w:cs="Tahoma"/>
      <w:kern w:val="2"/>
      <w:sz w:val="24"/>
      <w:szCs w:val="24"/>
      <w:lang w:eastAsia="ja-JP" w:bidi="fa-IR"/>
    </w:rPr>
  </w:style>
  <w:style w:type="paragraph" w:customStyle="1" w:styleId="edf1463746527608">
    <w:name w:val="edf_1463746527608"/>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49419213507">
    <w:name w:val="edf_1449419213507"/>
    <w:pPr>
      <w:widowControl w:val="0"/>
      <w:suppressAutoHyphens/>
    </w:pPr>
    <w:rPr>
      <w:rFonts w:eastAsia="Andale Sans UI" w:cs="Tahoma"/>
      <w:kern w:val="2"/>
      <w:sz w:val="24"/>
      <w:szCs w:val="24"/>
      <w:lang w:eastAsia="ja-JP" w:bidi="fa-IR"/>
    </w:rPr>
  </w:style>
  <w:style w:type="paragraph" w:customStyle="1" w:styleId="edf1449437129215">
    <w:name w:val="edf_1449437129215"/>
    <w:pPr>
      <w:widowControl w:val="0"/>
      <w:suppressAutoHyphens/>
    </w:pPr>
    <w:rPr>
      <w:rFonts w:eastAsia="Andale Sans UI" w:cs="Tahoma"/>
      <w:kern w:val="2"/>
      <w:sz w:val="24"/>
      <w:szCs w:val="24"/>
      <w:lang w:eastAsia="ja-JP" w:bidi="fa-IR"/>
    </w:rPr>
  </w:style>
  <w:style w:type="paragraph" w:customStyle="1" w:styleId="edf1449652191023">
    <w:name w:val="edf_1449652191023"/>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edf1348746231903">
    <w:name w:val="edf_1348746231903"/>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50278888507">
    <w:name w:val="edf_1450278888507"/>
    <w:pPr>
      <w:widowControl w:val="0"/>
      <w:suppressAutoHyphens/>
    </w:pPr>
    <w:rPr>
      <w:rFonts w:eastAsia="Andale Sans UI" w:cs="Tahoma"/>
      <w:kern w:val="2"/>
      <w:sz w:val="24"/>
      <w:szCs w:val="24"/>
      <w:lang w:eastAsia="ja-JP" w:bidi="fa-IR"/>
    </w:rPr>
  </w:style>
  <w:style w:type="paragraph" w:customStyle="1" w:styleId="edf1423827915045">
    <w:name w:val="edf_1423827915045"/>
    <w:pPr>
      <w:widowControl w:val="0"/>
      <w:suppressAutoHyphens/>
    </w:pPr>
    <w:rPr>
      <w:rFonts w:eastAsia="Andale Sans UI" w:cs="Tahoma"/>
      <w:kern w:val="2"/>
      <w:sz w:val="24"/>
      <w:szCs w:val="24"/>
      <w:lang w:eastAsia="ja-JP" w:bidi="fa-IR"/>
    </w:rPr>
  </w:style>
  <w:style w:type="paragraph" w:customStyle="1" w:styleId="edf1429791285592">
    <w:name w:val="edf_1429791285592"/>
    <w:pPr>
      <w:widowControl w:val="0"/>
      <w:suppressAutoHyphens/>
    </w:pPr>
    <w:rPr>
      <w:rFonts w:eastAsia="Andale Sans UI" w:cs="Tahoma"/>
      <w:kern w:val="2"/>
      <w:sz w:val="24"/>
      <w:szCs w:val="24"/>
      <w:lang w:eastAsia="ja-JP" w:bidi="fa-IR"/>
    </w:rPr>
  </w:style>
  <w:style w:type="paragraph" w:customStyle="1" w:styleId="edf1479210572560">
    <w:name w:val="edf_1479210572560"/>
    <w:pPr>
      <w:widowControl w:val="0"/>
      <w:suppressAutoHyphens/>
    </w:pPr>
    <w:rPr>
      <w:rFonts w:eastAsia="Andale Sans UI" w:cs="Tahoma"/>
      <w:kern w:val="2"/>
      <w:sz w:val="24"/>
      <w:szCs w:val="24"/>
      <w:lang w:eastAsia="ja-JP" w:bidi="fa-IR"/>
    </w:rPr>
  </w:style>
  <w:style w:type="paragraph" w:customStyle="1" w:styleId="edf1450278888505">
    <w:name w:val="edf_1450278888505"/>
    <w:pPr>
      <w:widowControl w:val="0"/>
      <w:suppressAutoHyphens/>
    </w:pPr>
    <w:rPr>
      <w:rFonts w:eastAsia="Andale Sans UI" w:cs="Tahoma"/>
      <w:kern w:val="2"/>
      <w:sz w:val="24"/>
      <w:szCs w:val="24"/>
      <w:lang w:eastAsia="ja-JP" w:bidi="fa-IR"/>
    </w:rPr>
  </w:style>
  <w:style w:type="paragraph" w:customStyle="1" w:styleId="edf1479465838454">
    <w:name w:val="edf_1479465838454"/>
    <w:pPr>
      <w:widowControl w:val="0"/>
      <w:suppressAutoHyphens/>
    </w:pPr>
    <w:rPr>
      <w:rFonts w:eastAsia="Andale Sans UI" w:cs="Tahoma"/>
      <w:kern w:val="2"/>
      <w:sz w:val="24"/>
      <w:szCs w:val="24"/>
      <w:lang w:eastAsia="ja-JP" w:bidi="fa-IR"/>
    </w:rPr>
  </w:style>
  <w:style w:type="paragraph" w:customStyle="1" w:styleId="edf1420633459267">
    <w:name w:val="edf_1420633459267"/>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449480197167">
    <w:name w:val="edf_1449480197167"/>
    <w:pPr>
      <w:widowControl w:val="0"/>
      <w:suppressAutoHyphens/>
    </w:pPr>
    <w:rPr>
      <w:rFonts w:eastAsia="Andale Sans UI" w:cs="Tahoma"/>
      <w:kern w:val="2"/>
      <w:sz w:val="24"/>
      <w:szCs w:val="24"/>
      <w:lang w:eastAsia="ja-JP" w:bidi="fa-IR"/>
    </w:rPr>
  </w:style>
  <w:style w:type="paragraph" w:customStyle="1" w:styleId="edf1571984481488">
    <w:name w:val="edf_1571984481488"/>
    <w:pPr>
      <w:widowControl w:val="0"/>
      <w:suppressAutoHyphens/>
    </w:pPr>
    <w:rPr>
      <w:rFonts w:eastAsia="Andale Sans UI" w:cs="Tahoma"/>
      <w:kern w:val="2"/>
      <w:sz w:val="24"/>
      <w:szCs w:val="24"/>
      <w:lang w:eastAsia="ja-JP" w:bidi="fa-IR"/>
    </w:rPr>
  </w:style>
  <w:style w:type="paragraph" w:customStyle="1" w:styleId="edf1317143219024">
    <w:name w:val="edf_1317143219024"/>
    <w:pPr>
      <w:widowControl w:val="0"/>
      <w:suppressAutoHyphens/>
    </w:pPr>
    <w:rPr>
      <w:rFonts w:eastAsia="Andale Sans UI" w:cs="Tahoma"/>
      <w:kern w:val="2"/>
      <w:sz w:val="24"/>
      <w:szCs w:val="24"/>
      <w:lang w:eastAsia="ja-JP" w:bidi="fa-IR"/>
    </w:rPr>
  </w:style>
  <w:style w:type="paragraph" w:customStyle="1" w:styleId="edf1420633459517">
    <w:name w:val="edf_1420633459517"/>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1458</Words>
  <Characters>8317</Characters>
  <Application>Microsoft Office Word</Application>
  <DocSecurity>0</DocSecurity>
  <Lines>69</Lines>
  <Paragraphs>19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Çağrı ÇAKIR</cp:lastModifiedBy>
  <cp:revision>3</cp:revision>
  <cp:lastPrinted>1995-11-21T14:41:00Z</cp:lastPrinted>
  <dcterms:created xsi:type="dcterms:W3CDTF">2025-05-15T06:13:00Z</dcterms:created>
  <dcterms:modified xsi:type="dcterms:W3CDTF">2025-05-15T13:57:00Z</dcterms:modified>
</cp:coreProperties>
</file>