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FB5BB2" w:rsidRDefault="00FB5BB2" w:rsidP="00FB5BB2">
      <w:pPr>
        <w:widowControl/>
        <w:suppressAutoHyphens w:val="0"/>
        <w:spacing w:after="200"/>
        <w:ind w:left="283" w:right="283" w:firstLine="567"/>
        <w:jc w:val="both"/>
        <w:rPr>
          <w:b/>
          <w:color w:val="010000"/>
          <w:sz w:val="28"/>
        </w:rPr>
      </w:pPr>
    </w:p>
    <w:p w:rsidR="00FB5BB2" w:rsidRDefault="00FB5BB2" w:rsidP="00FB5BB2">
      <w:pPr>
        <w:widowControl/>
        <w:suppressAutoHyphens w:val="0"/>
        <w:spacing w:after="200"/>
        <w:ind w:left="283" w:right="283" w:firstLine="567"/>
        <w:jc w:val="both"/>
        <w:rPr>
          <w:b/>
          <w:color w:val="010000"/>
          <w:sz w:val="28"/>
        </w:rPr>
      </w:pPr>
    </w:p>
    <w:p w:rsidR="00FB5BB2" w:rsidRDefault="00FB5BB2" w:rsidP="00FB5BB2">
      <w:pPr>
        <w:widowControl/>
        <w:suppressAutoHyphens w:val="0"/>
        <w:spacing w:after="200"/>
        <w:ind w:left="283" w:right="283" w:firstLine="567"/>
        <w:jc w:val="both"/>
        <w:rPr>
          <w:b/>
          <w:color w:val="010000"/>
          <w:sz w:val="28"/>
        </w:rPr>
      </w:pPr>
    </w:p>
    <w:p w:rsidR="00FB5BB2" w:rsidRDefault="00FB5BB2" w:rsidP="00FB5BB2">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sz w:val="28"/>
              </w:rPr>
            </w:pPr>
            <w:r>
              <w:rPr>
                <w:b/>
                <w:color w:val="010000"/>
                <w:sz w:val="28"/>
              </w:rPr>
              <w:t>TÜRKİYE CUMHURİYETİ</w:t>
            </w: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sz w:val="32"/>
              </w:rPr>
            </w:pPr>
            <w:r>
              <w:rPr>
                <w:b/>
                <w:color w:val="010000"/>
                <w:sz w:val="32"/>
              </w:rPr>
              <w:t>ANAYASA MAHKEMESİ</w:t>
            </w: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r>
              <w:rPr>
                <w:b/>
                <w:color w:val="010000"/>
              </w:rPr>
              <w:t>BİRİNCİ BÖLÜM</w:t>
            </w: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r>
              <w:rPr>
                <w:b/>
                <w:color w:val="010000"/>
              </w:rPr>
              <w:t>KARAR</w:t>
            </w: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r>
              <w:rPr>
                <w:b/>
                <w:color w:val="010000"/>
              </w:rPr>
              <w:t>HÜSAMETTİN FERİT GÜROL VE VERDA GÜROL BAŞVURUSU</w:t>
            </w: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color w:val="010000"/>
              </w:rPr>
            </w:pPr>
            <w:r>
              <w:rPr>
                <w:color w:val="010000"/>
              </w:rPr>
              <w:t>(Başvuru Numarası: 2020/25992)</w:t>
            </w: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color w:val="010000"/>
              </w:rPr>
            </w:pPr>
            <w:r>
              <w:rPr>
                <w:color w:val="010000"/>
              </w:rPr>
              <w:t>Karar Tarihi: 28/11/2024</w:t>
            </w: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r w:rsidR="00FB5BB2" w:rsidRPr="00FB5BB2" w:rsidTr="00FB5BB2">
        <w:tblPrEx>
          <w:tblCellMar>
            <w:top w:w="0" w:type="dxa"/>
            <w:bottom w:w="0" w:type="dxa"/>
          </w:tblCellMar>
        </w:tblPrEx>
        <w:trPr>
          <w:trHeight w:val="500"/>
          <w:jc w:val="center"/>
        </w:trPr>
        <w:tc>
          <w:tcPr>
            <w:tcW w:w="9072" w:type="dxa"/>
            <w:vAlign w:val="center"/>
          </w:tcPr>
          <w:p w:rsidR="00FB5BB2" w:rsidRPr="00FB5BB2" w:rsidRDefault="00FB5BB2" w:rsidP="00FB5BB2">
            <w:pPr>
              <w:widowControl/>
              <w:suppressAutoHyphens w:val="0"/>
              <w:spacing w:after="200"/>
              <w:ind w:right="283"/>
              <w:jc w:val="center"/>
              <w:rPr>
                <w:b/>
                <w:color w:val="010000"/>
              </w:rPr>
            </w:pPr>
          </w:p>
        </w:tc>
      </w:tr>
    </w:tbl>
    <w:p w:rsidR="00FB5BB2" w:rsidRDefault="00FB5BB2" w:rsidP="00FB5BB2">
      <w:pPr>
        <w:widowControl/>
        <w:suppressAutoHyphens w:val="0"/>
        <w:spacing w:after="200"/>
        <w:ind w:left="283" w:right="283" w:firstLine="567"/>
        <w:jc w:val="both"/>
        <w:rPr>
          <w:b/>
          <w:color w:val="010000"/>
        </w:rPr>
        <w:sectPr w:rsidR="00FB5BB2" w:rsidSect="00FB5BB2">
          <w:headerReference w:type="default" r:id="rId6"/>
          <w:pgSz w:w="11906" w:h="16838"/>
          <w:pgMar w:top="976" w:right="1417" w:bottom="1400" w:left="1417" w:header="400" w:footer="708" w:gutter="0"/>
          <w:cols w:space="708"/>
          <w:titlePg/>
          <w:docGrid w:linePitch="600" w:charSpace="32768"/>
        </w:sectPr>
      </w:pPr>
    </w:p>
    <w:p w:rsidR="00A75A10" w:rsidRPr="00FB5BB2" w:rsidRDefault="0075188E" w:rsidP="00FB5BB2">
      <w:pPr>
        <w:widowControl/>
        <w:suppressAutoHyphens w:val="0"/>
        <w:spacing w:after="200"/>
        <w:ind w:left="283" w:right="283" w:firstLine="1"/>
        <w:jc w:val="center"/>
        <w:rPr>
          <w:color w:val="010000"/>
        </w:rPr>
      </w:pPr>
      <w:r w:rsidRPr="00FB5BB2">
        <w:rPr>
          <w:b/>
          <w:color w:val="010000"/>
        </w:rPr>
        <w:lastRenderedPageBreak/>
        <w:t>BİRİNCİ BÖLÜM</w:t>
      </w:r>
    </w:p>
    <w:p w:rsidR="00A75A10" w:rsidRPr="00FB5BB2" w:rsidRDefault="0075188E" w:rsidP="00FB5BB2">
      <w:pPr>
        <w:widowControl/>
        <w:suppressAutoHyphens w:val="0"/>
        <w:spacing w:after="200"/>
        <w:ind w:left="283" w:right="283" w:firstLine="1"/>
        <w:jc w:val="center"/>
        <w:rPr>
          <w:color w:val="010000"/>
        </w:rPr>
      </w:pPr>
      <w:r w:rsidRPr="00FB5BB2">
        <w:rPr>
          <w:b/>
          <w:color w:val="010000"/>
        </w:rPr>
        <w:t>KARAR</w:t>
      </w:r>
    </w:p>
    <w:p w:rsidR="00FB5BB2" w:rsidRDefault="00FB5BB2" w:rsidP="00FB5BB2">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r w:rsidRPr="00FB5BB2">
              <w:rPr>
                <w:b/>
                <w:color w:val="010000"/>
              </w:rPr>
              <w:t>Başkan</w:t>
            </w:r>
          </w:p>
        </w:tc>
        <w:tc>
          <w:tcPr>
            <w:tcW w:w="200" w:type="dxa"/>
          </w:tcPr>
          <w:p w:rsidR="00FB5BB2" w:rsidRPr="00FB5BB2" w:rsidRDefault="00FB5BB2" w:rsidP="00FB5BB2">
            <w:pPr>
              <w:widowControl/>
              <w:suppressAutoHyphens w:val="0"/>
              <w:rPr>
                <w:b/>
                <w:color w:val="010000"/>
              </w:rPr>
            </w:pPr>
            <w:r w:rsidRPr="00FB5BB2">
              <w:rPr>
                <w:b/>
                <w:color w:val="010000"/>
              </w:rPr>
              <w:t>:</w:t>
            </w:r>
          </w:p>
        </w:tc>
        <w:tc>
          <w:tcPr>
            <w:tcW w:w="5400" w:type="dxa"/>
          </w:tcPr>
          <w:p w:rsidR="00FB5BB2" w:rsidRPr="00FB5BB2" w:rsidRDefault="00FB5BB2" w:rsidP="00FB5BB2">
            <w:pPr>
              <w:widowControl/>
              <w:suppressAutoHyphens w:val="0"/>
              <w:rPr>
                <w:color w:val="010000"/>
              </w:rPr>
            </w:pPr>
            <w:r w:rsidRPr="00FB5BB2">
              <w:rPr>
                <w:color w:val="010000"/>
              </w:rPr>
              <w:t>Hasan Tahsin GÖKCAN</w:t>
            </w:r>
          </w:p>
        </w:tc>
      </w:tr>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r w:rsidRPr="00FB5BB2">
              <w:rPr>
                <w:b/>
                <w:color w:val="010000"/>
              </w:rPr>
              <w:t>Üyeler</w:t>
            </w:r>
          </w:p>
        </w:tc>
        <w:tc>
          <w:tcPr>
            <w:tcW w:w="200" w:type="dxa"/>
          </w:tcPr>
          <w:p w:rsidR="00FB5BB2" w:rsidRPr="00FB5BB2" w:rsidRDefault="00FB5BB2" w:rsidP="00FB5BB2">
            <w:pPr>
              <w:widowControl/>
              <w:suppressAutoHyphens w:val="0"/>
              <w:rPr>
                <w:b/>
                <w:color w:val="010000"/>
              </w:rPr>
            </w:pPr>
            <w:r w:rsidRPr="00FB5BB2">
              <w:rPr>
                <w:b/>
                <w:color w:val="010000"/>
              </w:rPr>
              <w:t>:</w:t>
            </w:r>
          </w:p>
        </w:tc>
        <w:tc>
          <w:tcPr>
            <w:tcW w:w="5400" w:type="dxa"/>
          </w:tcPr>
          <w:p w:rsidR="00FB5BB2" w:rsidRPr="00FB5BB2" w:rsidRDefault="00FB5BB2" w:rsidP="00FB5BB2">
            <w:pPr>
              <w:widowControl/>
              <w:suppressAutoHyphens w:val="0"/>
              <w:rPr>
                <w:color w:val="010000"/>
              </w:rPr>
            </w:pPr>
            <w:r w:rsidRPr="00FB5BB2">
              <w:rPr>
                <w:color w:val="010000"/>
              </w:rPr>
              <w:t>Recai AKYEL</w:t>
            </w:r>
          </w:p>
        </w:tc>
      </w:tr>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p>
        </w:tc>
        <w:tc>
          <w:tcPr>
            <w:tcW w:w="200" w:type="dxa"/>
          </w:tcPr>
          <w:p w:rsidR="00FB5BB2" w:rsidRPr="00FB5BB2" w:rsidRDefault="00FB5BB2" w:rsidP="00FB5BB2">
            <w:pPr>
              <w:widowControl/>
              <w:suppressAutoHyphens w:val="0"/>
              <w:rPr>
                <w:b/>
                <w:color w:val="010000"/>
              </w:rPr>
            </w:pPr>
          </w:p>
        </w:tc>
        <w:tc>
          <w:tcPr>
            <w:tcW w:w="5400" w:type="dxa"/>
          </w:tcPr>
          <w:p w:rsidR="00FB5BB2" w:rsidRPr="00FB5BB2" w:rsidRDefault="00FB5BB2" w:rsidP="00FB5BB2">
            <w:pPr>
              <w:widowControl/>
              <w:suppressAutoHyphens w:val="0"/>
              <w:rPr>
                <w:color w:val="010000"/>
              </w:rPr>
            </w:pPr>
            <w:r w:rsidRPr="00FB5BB2">
              <w:rPr>
                <w:color w:val="010000"/>
              </w:rPr>
              <w:t>Yusuf Şevki HAKYEMEZ</w:t>
            </w:r>
          </w:p>
        </w:tc>
      </w:tr>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p>
        </w:tc>
        <w:tc>
          <w:tcPr>
            <w:tcW w:w="200" w:type="dxa"/>
          </w:tcPr>
          <w:p w:rsidR="00FB5BB2" w:rsidRPr="00FB5BB2" w:rsidRDefault="00FB5BB2" w:rsidP="00FB5BB2">
            <w:pPr>
              <w:widowControl/>
              <w:suppressAutoHyphens w:val="0"/>
              <w:rPr>
                <w:b/>
                <w:color w:val="010000"/>
              </w:rPr>
            </w:pPr>
          </w:p>
        </w:tc>
        <w:tc>
          <w:tcPr>
            <w:tcW w:w="5400" w:type="dxa"/>
          </w:tcPr>
          <w:p w:rsidR="00FB5BB2" w:rsidRPr="00FB5BB2" w:rsidRDefault="00FB5BB2" w:rsidP="00FB5BB2">
            <w:pPr>
              <w:widowControl/>
              <w:suppressAutoHyphens w:val="0"/>
              <w:rPr>
                <w:color w:val="010000"/>
              </w:rPr>
            </w:pPr>
            <w:r w:rsidRPr="00FB5BB2">
              <w:rPr>
                <w:color w:val="010000"/>
              </w:rPr>
              <w:t>İrfan FİDAN</w:t>
            </w:r>
          </w:p>
        </w:tc>
      </w:tr>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p>
        </w:tc>
        <w:tc>
          <w:tcPr>
            <w:tcW w:w="200" w:type="dxa"/>
          </w:tcPr>
          <w:p w:rsidR="00FB5BB2" w:rsidRPr="00FB5BB2" w:rsidRDefault="00FB5BB2" w:rsidP="00FB5BB2">
            <w:pPr>
              <w:widowControl/>
              <w:suppressAutoHyphens w:val="0"/>
              <w:rPr>
                <w:b/>
                <w:color w:val="010000"/>
              </w:rPr>
            </w:pPr>
          </w:p>
        </w:tc>
        <w:tc>
          <w:tcPr>
            <w:tcW w:w="5400" w:type="dxa"/>
          </w:tcPr>
          <w:p w:rsidR="00FB5BB2" w:rsidRPr="00FB5BB2" w:rsidRDefault="00FB5BB2" w:rsidP="00FB5BB2">
            <w:pPr>
              <w:widowControl/>
              <w:suppressAutoHyphens w:val="0"/>
              <w:rPr>
                <w:color w:val="010000"/>
              </w:rPr>
            </w:pPr>
            <w:r w:rsidRPr="00FB5BB2">
              <w:rPr>
                <w:color w:val="010000"/>
              </w:rPr>
              <w:t>Yılmaz AKÇİL</w:t>
            </w:r>
          </w:p>
        </w:tc>
      </w:tr>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r w:rsidRPr="00FB5BB2">
              <w:rPr>
                <w:b/>
                <w:color w:val="010000"/>
              </w:rPr>
              <w:t>Raportör</w:t>
            </w:r>
          </w:p>
        </w:tc>
        <w:tc>
          <w:tcPr>
            <w:tcW w:w="200" w:type="dxa"/>
          </w:tcPr>
          <w:p w:rsidR="00FB5BB2" w:rsidRPr="00FB5BB2" w:rsidRDefault="00FB5BB2" w:rsidP="00FB5BB2">
            <w:pPr>
              <w:widowControl/>
              <w:suppressAutoHyphens w:val="0"/>
              <w:rPr>
                <w:b/>
                <w:color w:val="010000"/>
              </w:rPr>
            </w:pPr>
            <w:r w:rsidRPr="00FB5BB2">
              <w:rPr>
                <w:b/>
                <w:color w:val="010000"/>
              </w:rPr>
              <w:t>:</w:t>
            </w:r>
          </w:p>
        </w:tc>
        <w:tc>
          <w:tcPr>
            <w:tcW w:w="5400" w:type="dxa"/>
          </w:tcPr>
          <w:p w:rsidR="00FB5BB2" w:rsidRPr="00FB5BB2" w:rsidRDefault="00FB5BB2" w:rsidP="00FB5BB2">
            <w:pPr>
              <w:widowControl/>
              <w:suppressAutoHyphens w:val="0"/>
              <w:rPr>
                <w:color w:val="010000"/>
              </w:rPr>
            </w:pPr>
            <w:r w:rsidRPr="00FB5BB2">
              <w:rPr>
                <w:color w:val="010000"/>
              </w:rPr>
              <w:t>Tahir Hami TOPAÇ</w:t>
            </w:r>
          </w:p>
        </w:tc>
      </w:tr>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r w:rsidRPr="00FB5BB2">
              <w:rPr>
                <w:b/>
                <w:color w:val="010000"/>
              </w:rPr>
              <w:t>Başvurucular</w:t>
            </w:r>
          </w:p>
        </w:tc>
        <w:tc>
          <w:tcPr>
            <w:tcW w:w="200" w:type="dxa"/>
          </w:tcPr>
          <w:p w:rsidR="00FB5BB2" w:rsidRPr="00FB5BB2" w:rsidRDefault="00FB5BB2" w:rsidP="00FB5BB2">
            <w:pPr>
              <w:widowControl/>
              <w:suppressAutoHyphens w:val="0"/>
              <w:rPr>
                <w:b/>
                <w:color w:val="010000"/>
              </w:rPr>
            </w:pPr>
            <w:r w:rsidRPr="00FB5BB2">
              <w:rPr>
                <w:b/>
                <w:color w:val="010000"/>
              </w:rPr>
              <w:t>:</w:t>
            </w:r>
          </w:p>
        </w:tc>
        <w:tc>
          <w:tcPr>
            <w:tcW w:w="5400" w:type="dxa"/>
          </w:tcPr>
          <w:p w:rsidR="00FB5BB2" w:rsidRPr="00FB5BB2" w:rsidRDefault="00FB5BB2" w:rsidP="00FB5BB2">
            <w:pPr>
              <w:widowControl/>
              <w:suppressAutoHyphens w:val="0"/>
              <w:rPr>
                <w:color w:val="010000"/>
              </w:rPr>
            </w:pPr>
            <w:r w:rsidRPr="00FB5BB2">
              <w:rPr>
                <w:color w:val="010000"/>
              </w:rPr>
              <w:t>1. Hüsamettin Ferit GÜROL</w:t>
            </w:r>
          </w:p>
        </w:tc>
      </w:tr>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p>
        </w:tc>
        <w:tc>
          <w:tcPr>
            <w:tcW w:w="200" w:type="dxa"/>
          </w:tcPr>
          <w:p w:rsidR="00FB5BB2" w:rsidRPr="00FB5BB2" w:rsidRDefault="00FB5BB2" w:rsidP="00FB5BB2">
            <w:pPr>
              <w:widowControl/>
              <w:suppressAutoHyphens w:val="0"/>
              <w:rPr>
                <w:b/>
                <w:color w:val="010000"/>
              </w:rPr>
            </w:pPr>
          </w:p>
        </w:tc>
        <w:tc>
          <w:tcPr>
            <w:tcW w:w="5400" w:type="dxa"/>
          </w:tcPr>
          <w:p w:rsidR="00FB5BB2" w:rsidRPr="00FB5BB2" w:rsidRDefault="00FB5BB2" w:rsidP="00FB5BB2">
            <w:pPr>
              <w:widowControl/>
              <w:suppressAutoHyphens w:val="0"/>
              <w:rPr>
                <w:color w:val="010000"/>
              </w:rPr>
            </w:pPr>
            <w:r w:rsidRPr="00FB5BB2">
              <w:rPr>
                <w:color w:val="010000"/>
              </w:rPr>
              <w:t>2. Verda GÜROL</w:t>
            </w:r>
          </w:p>
        </w:tc>
      </w:tr>
      <w:tr w:rsidR="00FB5BB2" w:rsidRPr="00FB5BB2" w:rsidTr="00FB5BB2">
        <w:tblPrEx>
          <w:tblCellMar>
            <w:top w:w="0" w:type="dxa"/>
            <w:bottom w:w="0" w:type="dxa"/>
          </w:tblCellMar>
        </w:tblPrEx>
        <w:trPr>
          <w:trHeight w:val="454"/>
        </w:trPr>
        <w:tc>
          <w:tcPr>
            <w:tcW w:w="2400" w:type="dxa"/>
          </w:tcPr>
          <w:p w:rsidR="00FB5BB2" w:rsidRPr="00FB5BB2" w:rsidRDefault="00FB5BB2" w:rsidP="00FB5BB2">
            <w:pPr>
              <w:widowControl/>
              <w:suppressAutoHyphens w:val="0"/>
              <w:rPr>
                <w:b/>
                <w:color w:val="010000"/>
              </w:rPr>
            </w:pPr>
            <w:r w:rsidRPr="00FB5BB2">
              <w:rPr>
                <w:b/>
                <w:color w:val="010000"/>
              </w:rPr>
              <w:t>Vekili</w:t>
            </w:r>
          </w:p>
        </w:tc>
        <w:tc>
          <w:tcPr>
            <w:tcW w:w="200" w:type="dxa"/>
          </w:tcPr>
          <w:p w:rsidR="00FB5BB2" w:rsidRPr="00FB5BB2" w:rsidRDefault="00FB5BB2" w:rsidP="00FB5BB2">
            <w:pPr>
              <w:widowControl/>
              <w:suppressAutoHyphens w:val="0"/>
              <w:rPr>
                <w:b/>
                <w:color w:val="010000"/>
              </w:rPr>
            </w:pPr>
            <w:r w:rsidRPr="00FB5BB2">
              <w:rPr>
                <w:b/>
                <w:color w:val="010000"/>
              </w:rPr>
              <w:t>:</w:t>
            </w:r>
          </w:p>
        </w:tc>
        <w:tc>
          <w:tcPr>
            <w:tcW w:w="5400" w:type="dxa"/>
          </w:tcPr>
          <w:p w:rsidR="00FB5BB2" w:rsidRPr="00FB5BB2" w:rsidRDefault="00FB5BB2" w:rsidP="00FB5BB2">
            <w:pPr>
              <w:widowControl/>
              <w:suppressAutoHyphens w:val="0"/>
              <w:rPr>
                <w:color w:val="010000"/>
              </w:rPr>
            </w:pPr>
            <w:r w:rsidRPr="00FB5BB2">
              <w:rPr>
                <w:color w:val="010000"/>
              </w:rPr>
              <w:t>Av. Canan ÖZEN</w:t>
            </w:r>
          </w:p>
        </w:tc>
      </w:tr>
    </w:tbl>
    <w:p w:rsidR="00FB5BB2" w:rsidRDefault="00FB5BB2" w:rsidP="00FB5BB2">
      <w:pPr>
        <w:widowControl/>
        <w:suppressAutoHyphens w:val="0"/>
        <w:spacing w:after="200"/>
        <w:ind w:left="283" w:right="283" w:firstLine="567"/>
        <w:jc w:val="both"/>
        <w:rPr>
          <w:b/>
          <w:color w:val="010000"/>
        </w:rPr>
      </w:pPr>
    </w:p>
    <w:p w:rsidR="00A75A10" w:rsidRPr="00FB5BB2" w:rsidRDefault="0075188E" w:rsidP="00FB5BB2">
      <w:pPr>
        <w:widowControl/>
        <w:suppressAutoHyphens w:val="0"/>
        <w:spacing w:after="200"/>
        <w:ind w:left="283" w:right="283" w:firstLine="567"/>
        <w:jc w:val="both"/>
        <w:rPr>
          <w:color w:val="010000"/>
        </w:rPr>
      </w:pPr>
      <w:r w:rsidRPr="00FB5BB2">
        <w:rPr>
          <w:b/>
          <w:color w:val="010000"/>
        </w:rPr>
        <w:t>I.</w:t>
      </w:r>
      <w:r w:rsidR="00FB5BB2" w:rsidRPr="00FB5BB2">
        <w:rPr>
          <w:color w:val="010000"/>
        </w:rPr>
        <w:t xml:space="preserve"> </w:t>
      </w:r>
      <w:r w:rsidRPr="00FB5BB2">
        <w:rPr>
          <w:b/>
          <w:color w:val="010000"/>
        </w:rPr>
        <w:t>BAŞVURUNUN ÖZETİ</w:t>
      </w:r>
    </w:p>
    <w:p w:rsidR="00A75A10" w:rsidRPr="00FB5BB2" w:rsidRDefault="0075188E" w:rsidP="00FB5BB2">
      <w:pPr>
        <w:pStyle w:val="edf1450279197849"/>
        <w:widowControl/>
        <w:suppressAutoHyphens w:val="0"/>
        <w:spacing w:after="200"/>
        <w:ind w:left="283" w:right="283" w:firstLine="567"/>
        <w:jc w:val="both"/>
        <w:rPr>
          <w:rFonts w:cs="Times New Roman"/>
          <w:color w:val="010000"/>
        </w:rPr>
      </w:pPr>
      <w:r w:rsidRPr="00FB5BB2">
        <w:rPr>
          <w:rFonts w:cs="Times New Roman"/>
          <w:color w:val="010000"/>
        </w:rPr>
        <w:t>1.</w:t>
      </w:r>
      <w:r w:rsidR="00FB5BB2" w:rsidRPr="00FB5BB2">
        <w:rPr>
          <w:rFonts w:cs="Times New Roman"/>
          <w:color w:val="010000"/>
        </w:rPr>
        <w:t xml:space="preserve"> </w:t>
      </w:r>
      <w:r w:rsidRPr="00FB5BB2">
        <w:rPr>
          <w:rFonts w:cs="Times New Roman"/>
          <w:color w:val="010000"/>
        </w:rPr>
        <w:t>Başvuru; taşınmaza kamulaştırmasız el atılması ve kamulaştırmasız el atma bedelinin değer kaybına uğratılması nedenleriyle mülkiyet hakkının, bedelinin geç ödenmesi nedeniyle de kararın icrası hakkının ihlal edildiği iddialarına ilişkindir. Başvurucular, nihai hükmü 9/7/2020 tarihinde öğrendikten sonra 10/8/2020 tarihinde bireysel başvuruda bulunmuştur. Komisyonca makul sürede yargılanma hakkının ihlal edildiği iddiası bakımından kısmi kabul edilemezlik kararı verilmiş, başvurunun mülkiyet hakkının ihlal edildiği iddiasına ilişkin kısmının kabul edilebilirlik incelemesinin Bölüm tarafından yapılmasına karar verilmiştir.</w:t>
      </w:r>
    </w:p>
    <w:p w:rsidR="00A75A10" w:rsidRPr="00FB5BB2" w:rsidRDefault="0075188E" w:rsidP="00FB5BB2">
      <w:pPr>
        <w:widowControl/>
        <w:suppressAutoHyphens w:val="0"/>
        <w:spacing w:after="200"/>
        <w:ind w:left="283" w:right="283" w:firstLine="567"/>
        <w:jc w:val="both"/>
        <w:rPr>
          <w:color w:val="010000"/>
        </w:rPr>
      </w:pPr>
      <w:r w:rsidRPr="00FB5BB2">
        <w:rPr>
          <w:b/>
          <w:color w:val="010000"/>
        </w:rPr>
        <w:t>II.</w:t>
      </w:r>
      <w:r w:rsidR="00FB5BB2" w:rsidRPr="00FB5BB2">
        <w:rPr>
          <w:color w:val="010000"/>
        </w:rPr>
        <w:t xml:space="preserve"> </w:t>
      </w:r>
      <w:r w:rsidRPr="00FB5BB2">
        <w:rPr>
          <w:b/>
          <w:color w:val="010000"/>
        </w:rPr>
        <w:t>DEĞERLENDİRME</w:t>
      </w:r>
    </w:p>
    <w:p w:rsidR="00A75A10" w:rsidRPr="00FB5BB2" w:rsidRDefault="0075188E" w:rsidP="00FB5BB2">
      <w:pPr>
        <w:pStyle w:val="edf1450279197849"/>
        <w:widowControl/>
        <w:suppressAutoHyphens w:val="0"/>
        <w:spacing w:after="200"/>
        <w:ind w:left="283" w:right="283" w:firstLine="567"/>
        <w:jc w:val="both"/>
        <w:rPr>
          <w:rFonts w:cs="Times New Roman"/>
          <w:color w:val="010000"/>
        </w:rPr>
      </w:pPr>
      <w:r w:rsidRPr="00FB5BB2">
        <w:rPr>
          <w:rFonts w:cs="Times New Roman"/>
          <w:color w:val="010000"/>
        </w:rPr>
        <w:t>2.</w:t>
      </w:r>
      <w:r w:rsidR="00FB5BB2" w:rsidRPr="00FB5BB2">
        <w:rPr>
          <w:rFonts w:cs="Times New Roman"/>
          <w:color w:val="010000"/>
        </w:rPr>
        <w:t xml:space="preserve"> </w:t>
      </w:r>
      <w:r w:rsidRPr="00FB5BB2">
        <w:rPr>
          <w:rFonts w:cs="Times New Roman"/>
          <w:color w:val="010000"/>
        </w:rPr>
        <w:t>Başvurucular; taşınmaza kamulaştırmasız şekilde el atıldığını ve kamulaştırmasız el atma bedelinin makul süre geçmesine karşın ödenmediğini, bu nedenle bedelin değer kaybına uğradığını belirterek mülkiyet hakkının ihlal edildiğini ileri sürmüş; ek beyan dilekçelerinde ödemelerin yapıldığını ancak geç ödeme nedeniyle zarara uğradıklarını belirtmiştir.</w:t>
      </w:r>
    </w:p>
    <w:p w:rsidR="00A75A10" w:rsidRPr="00FB5BB2" w:rsidRDefault="0075188E" w:rsidP="00FB5BB2">
      <w:pPr>
        <w:pStyle w:val="edf1450279197849"/>
        <w:widowControl/>
        <w:suppressAutoHyphens w:val="0"/>
        <w:spacing w:after="200"/>
        <w:ind w:left="283" w:right="283" w:firstLine="567"/>
        <w:jc w:val="both"/>
        <w:rPr>
          <w:rFonts w:cs="Times New Roman"/>
          <w:color w:val="010000"/>
        </w:rPr>
      </w:pPr>
      <w:r w:rsidRPr="00FB5BB2">
        <w:rPr>
          <w:rFonts w:cs="Times New Roman"/>
          <w:color w:val="010000"/>
        </w:rPr>
        <w:t>3.</w:t>
      </w:r>
      <w:r w:rsidR="00FB5BB2" w:rsidRPr="00FB5BB2">
        <w:rPr>
          <w:rFonts w:cs="Times New Roman"/>
          <w:color w:val="010000"/>
        </w:rPr>
        <w:t xml:space="preserve"> </w:t>
      </w:r>
      <w:r w:rsidRPr="00FB5BB2">
        <w:rPr>
          <w:rFonts w:cs="Times New Roman"/>
          <w:color w:val="010000"/>
        </w:rPr>
        <w:t>Adalet Bakanlığı (Bakanlık) görüşünde; başvuruculara asıl alacak ve ferîleri bakımından ödeme yapılmasının başvurucuların mağdur sıfatının değerlendirilmesinde dikkate alınması gerektiği, esas bakımından inceleme yapılması durumunda ise Anayasa ve ilgili mevzuat hükümlerinin, Anayasa Mahkemesi içtihatlarının ve somut olayın kendine özgü koşullarının dikkate alınması gerektiği belirtilmiştir.</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4.</w:t>
      </w:r>
      <w:r w:rsidR="00FB5BB2" w:rsidRPr="00FB5BB2">
        <w:rPr>
          <w:color w:val="010000"/>
        </w:rPr>
        <w:t xml:space="preserve"> </w:t>
      </w:r>
      <w:r w:rsidRPr="00FB5BB2">
        <w:rPr>
          <w:color w:val="010000"/>
        </w:rPr>
        <w:t>Başvurucular, Bakanlığın görüşüne karşı ödemenin geç yapılması nedeniyle mağdur sıfatlarının devam ettiğini belirterek başvuru formundaki iddialarını yinelemiştir.</w:t>
      </w:r>
    </w:p>
    <w:p w:rsidR="00A75A10" w:rsidRPr="00FB5BB2" w:rsidRDefault="0075188E" w:rsidP="00FB5BB2">
      <w:pPr>
        <w:widowControl/>
        <w:suppressAutoHyphens w:val="0"/>
        <w:spacing w:after="200"/>
        <w:ind w:left="283" w:right="283" w:firstLine="567"/>
        <w:jc w:val="both"/>
        <w:rPr>
          <w:color w:val="010000"/>
        </w:rPr>
      </w:pPr>
      <w:r w:rsidRPr="00FB5BB2">
        <w:rPr>
          <w:b/>
          <w:color w:val="010000"/>
        </w:rPr>
        <w:t>A.</w:t>
      </w:r>
      <w:r w:rsidR="00FB5BB2" w:rsidRPr="00FB5BB2">
        <w:rPr>
          <w:color w:val="010000"/>
        </w:rPr>
        <w:t xml:space="preserve"> </w:t>
      </w:r>
      <w:r w:rsidRPr="00FB5BB2">
        <w:rPr>
          <w:b/>
          <w:color w:val="010000"/>
        </w:rPr>
        <w:t>Kamulaştırmasız El Atma Şikâyeti Yönünden Mülkiyet Hakkının İhlal Edildiğine İlişkin İddia</w:t>
      </w:r>
    </w:p>
    <w:p w:rsidR="00A75A10" w:rsidRPr="00FB5BB2" w:rsidRDefault="0075188E" w:rsidP="00FB5BB2">
      <w:pPr>
        <w:widowControl/>
        <w:suppressAutoHyphens w:val="0"/>
        <w:spacing w:after="200"/>
        <w:ind w:left="283" w:right="283" w:firstLine="567"/>
        <w:jc w:val="both"/>
        <w:rPr>
          <w:color w:val="010000"/>
        </w:rPr>
      </w:pPr>
      <w:r w:rsidRPr="00FB5BB2">
        <w:rPr>
          <w:color w:val="010000"/>
        </w:rPr>
        <w:lastRenderedPageBreak/>
        <w:t>5.</w:t>
      </w:r>
      <w:r w:rsidR="00FB5BB2" w:rsidRPr="00FB5BB2">
        <w:rPr>
          <w:color w:val="010000"/>
        </w:rPr>
        <w:t xml:space="preserve"> </w:t>
      </w:r>
      <w:r w:rsidRPr="00FB5BB2">
        <w:rPr>
          <w:color w:val="010000"/>
        </w:rPr>
        <w:t xml:space="preserve">Anayasa Mahkemesi, olay ve olguları somut başvuruyla benzer nitelikte olan </w:t>
      </w:r>
      <w:r w:rsidRPr="00FB5BB2">
        <w:rPr>
          <w:i/>
          <w:iCs/>
          <w:color w:val="010000"/>
        </w:rPr>
        <w:t>Celalettin Aşçıoğlu</w:t>
      </w:r>
      <w:r w:rsidRPr="00FB5BB2">
        <w:rPr>
          <w:color w:val="010000"/>
        </w:rPr>
        <w:t xml:space="preserve"> (B. No: 2013/1436, 6/3/2014), </w:t>
      </w:r>
      <w:r w:rsidRPr="00FB5BB2">
        <w:rPr>
          <w:i/>
          <w:iCs/>
          <w:color w:val="010000"/>
        </w:rPr>
        <w:t>Mustafa Asiler</w:t>
      </w:r>
      <w:r w:rsidRPr="00FB5BB2">
        <w:rPr>
          <w:color w:val="010000"/>
        </w:rPr>
        <w:t xml:space="preserve"> (B. No: 2013/3578, 25/2/2015), </w:t>
      </w:r>
      <w:r w:rsidRPr="00FB5BB2">
        <w:rPr>
          <w:i/>
          <w:iCs/>
          <w:color w:val="010000"/>
        </w:rPr>
        <w:t>İbrahim Oğuz ve diğerleri</w:t>
      </w:r>
      <w:r w:rsidRPr="00FB5BB2">
        <w:rPr>
          <w:color w:val="010000"/>
        </w:rPr>
        <w:t xml:space="preserve"> (B. No: 2013/5926, 6/10/2015) ile</w:t>
      </w:r>
      <w:r w:rsidRPr="00FB5BB2">
        <w:rPr>
          <w:i/>
          <w:iCs/>
          <w:color w:val="010000"/>
        </w:rPr>
        <w:t xml:space="preserve"> Şevket Karataş</w:t>
      </w:r>
      <w:r w:rsidRPr="00FB5BB2">
        <w:rPr>
          <w:color w:val="010000"/>
        </w:rPr>
        <w:t xml:space="preserve"> ([GK], B. No: 2015/12554, 25/10/2018) kararlarında uygulanacak anayasal ilkeleri belirlemiştir. Bu çerçevede başvurucuların taşınmazlarına yapılan kamulaştırmasız el atmanın Anayasa'nın 13., 35. ve 46. maddeleriyle 4/11/1983 tarihli ve 2942 sayılı Kamulaştırma Kanunu'nda belirtilen usule uymayan bir müdahale olduğunu belirterek mülkiyet hakkına yapılan söz konusu müdahalenin kanunilik ilkesini ihlal ettiği sonucuna ulaşmıştır. Somut başvuruda</w:t>
      </w:r>
      <w:r w:rsidR="00FB5BB2">
        <w:rPr>
          <w:color w:val="010000"/>
        </w:rPr>
        <w:t xml:space="preserve"> </w:t>
      </w:r>
      <w:r w:rsidRPr="00FB5BB2">
        <w:rPr>
          <w:color w:val="010000"/>
        </w:rPr>
        <w:t xml:space="preserve">anılan kararlarda açıklanan ilkelerden ve ulaşılan sonuçtan ayrılmayı gerektiren bir durum bulunmamaktadır. </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6.</w:t>
      </w:r>
      <w:r w:rsidR="00FB5BB2" w:rsidRPr="00FB5BB2">
        <w:rPr>
          <w:color w:val="010000"/>
        </w:rPr>
        <w:t xml:space="preserve"> </w:t>
      </w:r>
      <w:r w:rsidRPr="00FB5BB2">
        <w:rPr>
          <w:color w:val="010000"/>
        </w:rPr>
        <w:t>Açıklanan gerekçelerle Anayasa’nın 35. maddesinde güvence altına alınan mülkiyet hakkının ihlal edildiğine karar verilmesi gerekir.</w:t>
      </w:r>
    </w:p>
    <w:p w:rsidR="00A75A10" w:rsidRPr="00FB5BB2" w:rsidRDefault="0075188E" w:rsidP="00FB5BB2">
      <w:pPr>
        <w:widowControl/>
        <w:suppressAutoHyphens w:val="0"/>
        <w:spacing w:after="200"/>
        <w:ind w:left="283" w:right="283" w:firstLine="567"/>
        <w:jc w:val="both"/>
        <w:rPr>
          <w:color w:val="010000"/>
        </w:rPr>
      </w:pPr>
      <w:r w:rsidRPr="00FB5BB2">
        <w:rPr>
          <w:b/>
          <w:color w:val="010000"/>
        </w:rPr>
        <w:t>B.</w:t>
      </w:r>
      <w:r w:rsidRPr="00FB5BB2">
        <w:rPr>
          <w:color w:val="010000"/>
        </w:rPr>
        <w:t xml:space="preserve"> </w:t>
      </w:r>
      <w:r w:rsidRPr="00FB5BB2">
        <w:rPr>
          <w:b/>
          <w:color w:val="010000"/>
        </w:rPr>
        <w:t>Kamulaştırmasız El Atma Bedelinin Geç Ödenmesi Yönünden Mülkiyet Hakkının İhlal Edildiğine İlişkin İddia</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7.</w:t>
      </w:r>
      <w:r w:rsidR="00FB5BB2" w:rsidRPr="00FB5BB2">
        <w:rPr>
          <w:color w:val="010000"/>
        </w:rPr>
        <w:t xml:space="preserve"> </w:t>
      </w:r>
      <w:r w:rsidRPr="00FB5BB2">
        <w:rPr>
          <w:color w:val="010000"/>
        </w:rPr>
        <w:t>Başvurucular, kamulaştırmasız el atma bedelinin ödenmemesi nedeniyle mülkiyet hakkını ihlal ettiğini öne sürmüştür. Bireysel başvurudan sonra bedelin ödendiği anlaşılmıştır. Başvurucuların temel şikâyetinin kendileri için ekonomik değer ifade eden ve kesinleşmiş yargı kararına dayanan alacağın geç ödenmesi olduğu dikkate alındığında başvurucuların belirttiği ihlal iddiasının mülkiyet hakkının güvencelerinden olan kararın icrası hakkı kapsamında incelenmesi gerektiği değerlendirilmiştir.</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8.</w:t>
      </w:r>
      <w:r w:rsidR="00FB5BB2" w:rsidRPr="00FB5BB2">
        <w:rPr>
          <w:color w:val="010000"/>
        </w:rPr>
        <w:t xml:space="preserve"> </w:t>
      </w:r>
      <w:r w:rsidRPr="00FB5BB2">
        <w:rPr>
          <w:color w:val="010000"/>
        </w:rPr>
        <w:t xml:space="preserve">Anayasa Mahkemesi, </w:t>
      </w:r>
      <w:r w:rsidRPr="00FB5BB2">
        <w:rPr>
          <w:i/>
          <w:iCs/>
          <w:color w:val="010000"/>
        </w:rPr>
        <w:t>Veysi Ado</w:t>
      </w:r>
      <w:r w:rsidRPr="00FB5BB2">
        <w:rPr>
          <w:color w:val="010000"/>
        </w:rPr>
        <w:t xml:space="preserve"> ([GK] B. No: 2022/100837, 27/4/2023) kararında, 9/1/2013 tarihli ve 6384 sayılı Avrupa İnsan Hakları Mahkemesine Yapılmış Bazı Başvuruların Tazminat Ödenmek Suretiyle Çözümüne Dair Kanun'un geçici 2. maddesinde 28/3/2023 tarihli ve 7445 sayılı Kanun'un 40. maddesi ile yapılan değişikliğe göre 9/3/2023 tarihi (bu tarih dâhil) itibarıyla derdest olan, yargılamaların makul sürede sonuçlandırılmadığı iddialarıyla yapılan başvurulara ilişkin olarak Tazminat Komisyonuna başvuru yolu tüketilmeden yapılan başvurunun incelenmesinin bireysel başvurunun ikincil niteliğiyle bağdaşmayacağı neticesine varmıştır. Aynı maddeye göre anılan tarih itibarıyla derdest olan mahkeme kararlarının geç veya eksik icra edildiği ya da hiç icra edilmediği iddiasıyla yapılan başvuruların da Tazminat Komisyonunca incelenebilmesi mümkün kılınmıştır. Bu durumdayargı kararının geç veya eksik icra edildiği ya da hiç icra edilmediği iddiasını içeren somut başvuru yönünden de aynı sonuca varılması gerekir.</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9.</w:t>
      </w:r>
      <w:r w:rsidR="00FB5BB2" w:rsidRPr="00FB5BB2">
        <w:rPr>
          <w:color w:val="010000"/>
        </w:rPr>
        <w:t xml:space="preserve"> </w:t>
      </w:r>
      <w:r w:rsidRPr="00FB5BB2">
        <w:rPr>
          <w:color w:val="010000"/>
        </w:rPr>
        <w:t>Açıklanan gerekçelerle başvurunun diğer kabul edilebilirlik şartları yönünden incelenmeksizin</w:t>
      </w:r>
      <w:r w:rsidRPr="00FB5BB2">
        <w:rPr>
          <w:i/>
          <w:iCs/>
          <w:color w:val="010000"/>
        </w:rPr>
        <w:t xml:space="preserve"> başvuru yollarının tüketilmemesi </w:t>
      </w:r>
      <w:r w:rsidRPr="00FB5BB2">
        <w:rPr>
          <w:color w:val="010000"/>
        </w:rPr>
        <w:t>nedeniyle kabul edilemez olduğuna karar verilmesi gerekir.</w:t>
      </w:r>
    </w:p>
    <w:p w:rsidR="00A75A10" w:rsidRPr="00FB5BB2" w:rsidRDefault="0075188E" w:rsidP="00FB5BB2">
      <w:pPr>
        <w:widowControl/>
        <w:suppressAutoHyphens w:val="0"/>
        <w:spacing w:after="200"/>
        <w:ind w:left="283" w:right="283" w:firstLine="567"/>
        <w:jc w:val="both"/>
        <w:rPr>
          <w:color w:val="010000"/>
        </w:rPr>
      </w:pPr>
      <w:r w:rsidRPr="00FB5BB2">
        <w:rPr>
          <w:b/>
          <w:color w:val="010000"/>
        </w:rPr>
        <w:t>C.</w:t>
      </w:r>
      <w:r w:rsidR="00FB5BB2" w:rsidRPr="00FB5BB2">
        <w:rPr>
          <w:color w:val="010000"/>
        </w:rPr>
        <w:t xml:space="preserve"> </w:t>
      </w:r>
      <w:r w:rsidRPr="00FB5BB2">
        <w:rPr>
          <w:b/>
          <w:color w:val="010000"/>
        </w:rPr>
        <w:t>Kamulaştırmasız El Atma Bedelinin Değer Kaybına Uğratılması Yönünden Mülkiyet Hakkının İhlal Edildiğine İlişkin İddia</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10.</w:t>
      </w:r>
      <w:r w:rsidR="00FB5BB2" w:rsidRPr="00FB5BB2">
        <w:rPr>
          <w:color w:val="010000"/>
        </w:rPr>
        <w:t xml:space="preserve"> </w:t>
      </w:r>
      <w:r w:rsidRPr="00FB5BB2">
        <w:rPr>
          <w:color w:val="010000"/>
        </w:rPr>
        <w:t xml:space="preserve">Anayasa Mahkemesi, olay ve olguları somut başvuru ile benzer nitelikte olan </w:t>
      </w:r>
      <w:r w:rsidRPr="00FB5BB2">
        <w:rPr>
          <w:i/>
          <w:iCs/>
          <w:color w:val="010000"/>
        </w:rPr>
        <w:t>Ali Şimşek ve diğerleri</w:t>
      </w:r>
      <w:r w:rsidRPr="00FB5BB2">
        <w:rPr>
          <w:color w:val="010000"/>
        </w:rPr>
        <w:t xml:space="preserve"> (B. No: 2014/2073, 6/7/2017), </w:t>
      </w:r>
      <w:r w:rsidRPr="00FB5BB2">
        <w:rPr>
          <w:i/>
          <w:iCs/>
          <w:color w:val="010000"/>
        </w:rPr>
        <w:t>Mehmet Akdoğan ve diğerleri</w:t>
      </w:r>
      <w:r w:rsidRPr="00FB5BB2">
        <w:rPr>
          <w:color w:val="010000"/>
        </w:rPr>
        <w:t xml:space="preserve"> (B. No: 2013/817, 19/12/2013), </w:t>
      </w:r>
      <w:r w:rsidRPr="00FB5BB2">
        <w:rPr>
          <w:i/>
          <w:iCs/>
          <w:color w:val="010000"/>
        </w:rPr>
        <w:t>Kadir Çakar</w:t>
      </w:r>
      <w:r w:rsidRPr="00FB5BB2">
        <w:rPr>
          <w:color w:val="010000"/>
        </w:rPr>
        <w:t xml:space="preserve"> (B. No: 2015/18908, 21/3/2018), </w:t>
      </w:r>
      <w:r w:rsidRPr="00FB5BB2">
        <w:rPr>
          <w:i/>
          <w:iCs/>
          <w:color w:val="010000"/>
        </w:rPr>
        <w:t>Hanım Çeyiz ve Mehmet Gündüz</w:t>
      </w:r>
      <w:r w:rsidRPr="00FB5BB2">
        <w:rPr>
          <w:color w:val="010000"/>
        </w:rPr>
        <w:t xml:space="preserve"> (B. No: 2015/19289, 17/7/2018) ve </w:t>
      </w:r>
      <w:r w:rsidRPr="00FB5BB2">
        <w:rPr>
          <w:i/>
          <w:iCs/>
          <w:color w:val="010000"/>
        </w:rPr>
        <w:t>Türkan Poyraz</w:t>
      </w:r>
      <w:r w:rsidRPr="00FB5BB2">
        <w:rPr>
          <w:color w:val="010000"/>
        </w:rPr>
        <w:t xml:space="preserve"> (B. No: 2015/15388, 13/9/2018) kararlarında uygulanacak anayasal ilkeleri belirlemiştir. Bu çerçevede davanın açıldığı tarih ile ödemenin yapıldığı tarih arasında geçen dönemde gerçekleşen enflasyon oranları karşısında kamulaştırma bedelinin hissedilir/önemli derecede değer kaybetmesi nedeniyle başvuruculara aşırı külfet yüklendiğini belirterek </w:t>
      </w:r>
      <w:r w:rsidRPr="00FB5BB2">
        <w:rPr>
          <w:color w:val="010000"/>
        </w:rPr>
        <w:lastRenderedPageBreak/>
        <w:t xml:space="preserve">mülkiyet hakkının ihlal edildiği sonucuna ulaşmıştır. Somut başvuruda da yargılama süresinde kamulaştırma bedelinin yaklaşık %11 oranında değer kaybettiği tespit edilmiştir. Bu durumda anılan kararlarda açıklanan ilkelerden ve ulaşılan sonuçtan ayrılmayı gerektiren bir durum bulunmamaktadır. </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11.</w:t>
      </w:r>
      <w:r w:rsidR="00FB5BB2" w:rsidRPr="00FB5BB2">
        <w:rPr>
          <w:color w:val="010000"/>
        </w:rPr>
        <w:t xml:space="preserve"> </w:t>
      </w:r>
      <w:r w:rsidRPr="00FB5BB2">
        <w:rPr>
          <w:color w:val="010000"/>
        </w:rPr>
        <w:t>Açıklanan gerekçelerle Anayasa’nın 35. maddesinde güvence altına alınan mülkiyet hakkının ihlal edildiğine karar verilmesi gerekir.</w:t>
      </w:r>
    </w:p>
    <w:p w:rsidR="00A75A10" w:rsidRPr="00FB5BB2" w:rsidRDefault="0075188E" w:rsidP="00FB5BB2">
      <w:pPr>
        <w:pStyle w:val="edf1450279197849"/>
        <w:widowControl/>
        <w:suppressAutoHyphens w:val="0"/>
        <w:spacing w:after="200"/>
        <w:ind w:left="283" w:right="283" w:firstLine="567"/>
        <w:jc w:val="both"/>
        <w:rPr>
          <w:rFonts w:cs="Times New Roman"/>
          <w:color w:val="010000"/>
        </w:rPr>
      </w:pPr>
      <w:r w:rsidRPr="00FB5BB2">
        <w:rPr>
          <w:rFonts w:cs="Times New Roman"/>
          <w:b/>
          <w:color w:val="010000"/>
        </w:rPr>
        <w:t>III.</w:t>
      </w:r>
      <w:r w:rsidR="00FB5BB2" w:rsidRPr="00FB5BB2">
        <w:rPr>
          <w:rFonts w:cs="Times New Roman"/>
          <w:color w:val="010000"/>
        </w:rPr>
        <w:t xml:space="preserve"> </w:t>
      </w:r>
      <w:r w:rsidRPr="00FB5BB2">
        <w:rPr>
          <w:rFonts w:cs="Times New Roman"/>
          <w:b/>
          <w:color w:val="010000"/>
        </w:rPr>
        <w:t xml:space="preserve">GİDERİM </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12.</w:t>
      </w:r>
      <w:r w:rsidR="00FB5BB2" w:rsidRPr="00FB5BB2">
        <w:rPr>
          <w:color w:val="010000"/>
        </w:rPr>
        <w:t xml:space="preserve"> </w:t>
      </w:r>
      <w:r w:rsidRPr="00FB5BB2">
        <w:rPr>
          <w:color w:val="010000"/>
        </w:rPr>
        <w:t>Başvurucular, ihlallerin tespiti ve bedelin değer kaybına uğratılması yönünden maddi tazminat talebinde bulunmuştur. Başvuruda bedelin değer kaybına uğratılması yönünden mülkiyet hakkının ihlalinin sonuçlarının ortadan kaldırılması için yeniden yargılama</w:t>
      </w:r>
      <w:r w:rsidRPr="00FB5BB2">
        <w:rPr>
          <w:b/>
          <w:i/>
          <w:iCs/>
          <w:color w:val="010000"/>
        </w:rPr>
        <w:t xml:space="preserve"> </w:t>
      </w:r>
      <w:r w:rsidRPr="00FB5BB2">
        <w:rPr>
          <w:color w:val="010000"/>
        </w:rPr>
        <w:t>yapılmasında hukuki 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w:t>
      </w:r>
      <w:r w:rsidRPr="00FB5BB2">
        <w:rPr>
          <w:i/>
          <w:iCs/>
          <w:color w:val="010000"/>
        </w:rPr>
        <w:t>Mehmet Doğan</w:t>
      </w:r>
      <w:r w:rsidRPr="00FB5BB2">
        <w:rPr>
          <w:color w:val="010000"/>
        </w:rPr>
        <w:t xml:space="preserve"> [GK], B. No: 2014/8875, 7/6/2018, §§ 54-60; </w:t>
      </w:r>
      <w:proofErr w:type="spellStart"/>
      <w:r w:rsidRPr="00FB5BB2">
        <w:rPr>
          <w:i/>
          <w:iCs/>
          <w:color w:val="010000"/>
        </w:rPr>
        <w:t>Aligül</w:t>
      </w:r>
      <w:proofErr w:type="spellEnd"/>
      <w:r w:rsidRPr="00FB5BB2">
        <w:rPr>
          <w:i/>
          <w:iCs/>
          <w:color w:val="010000"/>
        </w:rPr>
        <w:t xml:space="preserve"> Alkaya ve diğerleri (2)</w:t>
      </w:r>
      <w:r w:rsidRPr="00FB5BB2">
        <w:rPr>
          <w:color w:val="010000"/>
        </w:rPr>
        <w:t xml:space="preserve">, B. No: 2016/12506, 7/11/2019, §§ 53-60, 66; </w:t>
      </w:r>
      <w:r w:rsidRPr="00FB5BB2">
        <w:rPr>
          <w:i/>
          <w:iCs/>
          <w:color w:val="010000"/>
        </w:rPr>
        <w:t xml:space="preserve">Kadri Enis Berberoğlu (3) </w:t>
      </w:r>
      <w:r w:rsidRPr="00FB5BB2">
        <w:rPr>
          <w:color w:val="010000"/>
        </w:rPr>
        <w:t xml:space="preserve">[GK], B. No: 2020/32949, 21/1/2021, §§ 93-100). Mülkiyet hakkının ihlalinin ve sonuçlarının ortadan kaldırılması için yeniden yargılama yapılmasının yeterli giderim sağlayacağı anlaşıldığından tazminat talebinin reddine karar verilmesi gerekir. </w:t>
      </w:r>
    </w:p>
    <w:p w:rsidR="00A75A10" w:rsidRPr="00FB5BB2" w:rsidRDefault="0075188E" w:rsidP="00FB5BB2">
      <w:pPr>
        <w:widowControl/>
        <w:suppressAutoHyphens w:val="0"/>
        <w:spacing w:after="200"/>
        <w:ind w:left="283" w:right="283" w:firstLine="567"/>
        <w:jc w:val="both"/>
        <w:rPr>
          <w:color w:val="010000"/>
        </w:rPr>
      </w:pPr>
      <w:r w:rsidRPr="00FB5BB2">
        <w:rPr>
          <w:b/>
          <w:color w:val="010000"/>
        </w:rPr>
        <w:t>IV.</w:t>
      </w:r>
      <w:r w:rsidR="00FB5BB2" w:rsidRPr="00FB5BB2">
        <w:rPr>
          <w:color w:val="010000"/>
        </w:rPr>
        <w:t xml:space="preserve"> </w:t>
      </w:r>
      <w:r w:rsidRPr="00FB5BB2">
        <w:rPr>
          <w:b/>
          <w:color w:val="010000"/>
        </w:rPr>
        <w:t>HÜKÜM</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Açıklanan gerekçelerle;</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A.</w:t>
      </w:r>
      <w:r w:rsidR="00FB5BB2" w:rsidRPr="00FB5BB2">
        <w:rPr>
          <w:color w:val="010000"/>
        </w:rPr>
        <w:t xml:space="preserve"> </w:t>
      </w:r>
      <w:r w:rsidRPr="00FB5BB2">
        <w:rPr>
          <w:color w:val="010000"/>
        </w:rPr>
        <w:t xml:space="preserve">1. Kararın icrası hakkının ihlal edildiğine ilişkin iddianın </w:t>
      </w:r>
      <w:r w:rsidRPr="00FB5BB2">
        <w:rPr>
          <w:i/>
          <w:iCs/>
          <w:color w:val="010000"/>
        </w:rPr>
        <w:t>başvuru yollarının tüketilmemesi</w:t>
      </w:r>
      <w:r w:rsidRPr="00FB5BB2">
        <w:rPr>
          <w:color w:val="010000"/>
        </w:rPr>
        <w:t xml:space="preserve"> nedeniyle KABUL EDİLEMEZ OLDUĞUNA,</w:t>
      </w:r>
    </w:p>
    <w:p w:rsidR="00A75A10" w:rsidRPr="00FB5BB2" w:rsidRDefault="0075188E" w:rsidP="00FB5BB2">
      <w:pPr>
        <w:widowControl/>
        <w:suppressAutoHyphens w:val="0"/>
        <w:spacing w:after="200"/>
        <w:ind w:left="283" w:right="283" w:firstLine="850"/>
        <w:jc w:val="both"/>
        <w:rPr>
          <w:color w:val="010000"/>
        </w:rPr>
      </w:pPr>
      <w:bookmarkStart w:id="0" w:name="_GoBack"/>
      <w:bookmarkEnd w:id="0"/>
      <w:r w:rsidRPr="00FB5BB2">
        <w:rPr>
          <w:color w:val="010000"/>
        </w:rPr>
        <w:t>2.</w:t>
      </w:r>
      <w:r w:rsidR="00FB5BB2" w:rsidRPr="00FB5BB2">
        <w:rPr>
          <w:color w:val="010000"/>
        </w:rPr>
        <w:t xml:space="preserve"> </w:t>
      </w:r>
      <w:r w:rsidRPr="00FB5BB2">
        <w:rPr>
          <w:color w:val="010000"/>
        </w:rPr>
        <w:t>Kamulaştırmasız el atma ve bedelin değer kaybına uğraması yönünden mülkiyet hakkının ihlal edildiğine ilişkin iddianın KABUL EDİLEBİLİR OLDUĞUNA,</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B.</w:t>
      </w:r>
      <w:r w:rsidR="00FB5BB2" w:rsidRPr="00FB5BB2">
        <w:rPr>
          <w:color w:val="010000"/>
        </w:rPr>
        <w:t xml:space="preserve"> </w:t>
      </w:r>
      <w:r w:rsidRPr="00FB5BB2">
        <w:rPr>
          <w:color w:val="010000"/>
        </w:rPr>
        <w:t>Anayasa’nın 35. maddesinde güvence altına alınan mülkiyet hakkının kamulaştırmasız el atma ve bedelin değer kaybına uğraması yönünden İHLAL EDİLDİĞİNE,</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C.</w:t>
      </w:r>
      <w:r w:rsidR="00FB5BB2" w:rsidRPr="00FB5BB2">
        <w:rPr>
          <w:color w:val="010000"/>
        </w:rPr>
        <w:t xml:space="preserve"> </w:t>
      </w:r>
      <w:r w:rsidRPr="00FB5BB2">
        <w:rPr>
          <w:color w:val="010000"/>
        </w:rPr>
        <w:t>Kararın bir örneğinin mülkiyet hakkının ihlalinin sonuçlarının ortadan kaldırılması için yeniden yargılama yapılmak üzere İstanbul 24. Asliye Hukuk Mahkemesine (E.2014/162, K.2017/201) GÖNDERİLMESİNE,</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D.</w:t>
      </w:r>
      <w:r w:rsidR="00FB5BB2" w:rsidRPr="00FB5BB2">
        <w:rPr>
          <w:color w:val="010000"/>
        </w:rPr>
        <w:t xml:space="preserve"> </w:t>
      </w:r>
      <w:r w:rsidRPr="00FB5BB2">
        <w:rPr>
          <w:color w:val="010000"/>
        </w:rPr>
        <w:t>Başvurucuların tazminat taleplerinin REDDİNE,</w:t>
      </w:r>
    </w:p>
    <w:p w:rsidR="00A75A10" w:rsidRPr="00FB5BB2" w:rsidRDefault="0075188E" w:rsidP="00FB5BB2">
      <w:pPr>
        <w:pStyle w:val="edf1393440552765"/>
        <w:widowControl/>
        <w:suppressAutoHyphens w:val="0"/>
        <w:spacing w:after="200"/>
        <w:ind w:left="283" w:right="283" w:firstLine="567"/>
        <w:jc w:val="both"/>
        <w:rPr>
          <w:rFonts w:cs="Times New Roman"/>
          <w:color w:val="010000"/>
        </w:rPr>
      </w:pPr>
      <w:r w:rsidRPr="00FB5BB2">
        <w:rPr>
          <w:rFonts w:cs="Times New Roman"/>
          <w:color w:val="010000"/>
        </w:rPr>
        <w:t>E.</w:t>
      </w:r>
      <w:r w:rsidR="00FB5BB2" w:rsidRPr="00FB5BB2">
        <w:rPr>
          <w:rFonts w:cs="Times New Roman"/>
          <w:color w:val="010000"/>
        </w:rPr>
        <w:t xml:space="preserve"> </w:t>
      </w:r>
      <w:r w:rsidRPr="00FB5BB2">
        <w:rPr>
          <w:rFonts w:cs="Times New Roman"/>
          <w:color w:val="010000"/>
        </w:rPr>
        <w:t>446,90 TL harç ve 30.000 TL vekâlet ücretinden oluşan toplam 30.446,90 TL yargılama giderinin başvuruculara MÜŞTEREKEN ÖDENMESİNE,</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F.</w:t>
      </w:r>
      <w:r w:rsidR="00FB5BB2" w:rsidRPr="00FB5BB2">
        <w:rPr>
          <w:color w:val="010000"/>
        </w:rPr>
        <w:t xml:space="preserve"> </w:t>
      </w:r>
      <w:r w:rsidRPr="00FB5BB2">
        <w:rPr>
          <w:color w:val="010000"/>
        </w:rPr>
        <w:t>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A75A10" w:rsidRPr="00FB5BB2" w:rsidRDefault="0075188E" w:rsidP="00FB5BB2">
      <w:pPr>
        <w:widowControl/>
        <w:suppressAutoHyphens w:val="0"/>
        <w:spacing w:after="200"/>
        <w:ind w:left="283" w:right="283" w:firstLine="567"/>
        <w:jc w:val="both"/>
        <w:rPr>
          <w:color w:val="010000"/>
        </w:rPr>
      </w:pPr>
      <w:r w:rsidRPr="00FB5BB2">
        <w:rPr>
          <w:color w:val="010000"/>
        </w:rPr>
        <w:t>G.</w:t>
      </w:r>
      <w:r w:rsidR="00FB5BB2" w:rsidRPr="00FB5BB2">
        <w:rPr>
          <w:color w:val="010000"/>
        </w:rPr>
        <w:t xml:space="preserve"> </w:t>
      </w:r>
      <w:r w:rsidRPr="00FB5BB2">
        <w:rPr>
          <w:color w:val="010000"/>
        </w:rPr>
        <w:t>Kararın bir örneğinin Adalet Bakanlığına GÖNDERİLMESİNE 28/11/2024 tarihinde OYBİRLİĞİYLE karar verildi.</w:t>
      </w:r>
    </w:p>
    <w:sectPr w:rsidR="00A75A10" w:rsidRPr="00FB5BB2" w:rsidSect="00FB5BB2">
      <w:pgSz w:w="11906" w:h="16838"/>
      <w:pgMar w:top="976" w:right="1417" w:bottom="1400" w:left="1417" w:header="400" w:footer="708"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5A10" w:rsidRDefault="0075188E">
      <w:r>
        <w:separator/>
      </w:r>
    </w:p>
  </w:endnote>
  <w:endnote w:type="continuationSeparator" w:id="0">
    <w:p w:rsidR="00A75A10" w:rsidRDefault="00751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5A10" w:rsidRDefault="0075188E">
      <w:r>
        <w:separator/>
      </w:r>
    </w:p>
  </w:footnote>
  <w:footnote w:type="continuationSeparator" w:id="0">
    <w:p w:rsidR="00A75A10" w:rsidRDefault="007518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5A10" w:rsidRDefault="0075188E">
    <w:pPr>
      <w:pStyle w:val="stBilgi"/>
      <w:tabs>
        <w:tab w:val="left" w:pos="2020"/>
      </w:tabs>
      <w:spacing w:line="288" w:lineRule="exact"/>
    </w:pPr>
    <w:r>
      <w:t>Başvuru Numarası</w:t>
    </w:r>
    <w:r>
      <w:tab/>
      <w:t>: 2020/25992</w:t>
    </w:r>
  </w:p>
  <w:p w:rsidR="00A75A10" w:rsidRDefault="0075188E">
    <w:pPr>
      <w:pStyle w:val="stBilgi"/>
      <w:tabs>
        <w:tab w:val="left" w:pos="1940"/>
      </w:tabs>
      <w:spacing w:line="288" w:lineRule="exact"/>
    </w:pPr>
    <w:r>
      <w:t>Karar Tarihi</w:t>
    </w:r>
    <w:proofErr w:type="gramStart"/>
    <w:r>
      <w:tab/>
      <w:t xml:space="preserve"> :</w:t>
    </w:r>
    <w:proofErr w:type="gramEnd"/>
    <w:r>
      <w:t xml:space="preserve"> 28/11/2024 </w:t>
    </w:r>
  </w:p>
  <w:p w:rsidR="00FB5BB2" w:rsidRDefault="00FB5BB2">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188E"/>
    <w:rsid w:val="0075188E"/>
    <w:rsid w:val="00A75A10"/>
    <w:rsid w:val="00FB5BB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0770BFDF"/>
  <w15:chartTrackingRefBased/>
  <w15:docId w15:val="{35A73922-1AFE-4475-B6FE-F7CD843B9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85627453728">
    <w:name w:val="edf_1385627453728"/>
    <w:pPr>
      <w:widowControl w:val="0"/>
      <w:suppressAutoHyphens/>
    </w:pPr>
    <w:rPr>
      <w:rFonts w:eastAsia="Andale Sans UI" w:cs="Tahoma"/>
      <w:kern w:val="2"/>
      <w:sz w:val="24"/>
      <w:szCs w:val="24"/>
      <w:lang w:eastAsia="ja-JP" w:bidi="fa-IR"/>
    </w:rPr>
  </w:style>
  <w:style w:type="paragraph" w:customStyle="1" w:styleId="edf1349962966121">
    <w:name w:val="edf_1349962966121"/>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391432591463">
    <w:name w:val="edf_1391432591463"/>
    <w:pPr>
      <w:widowControl w:val="0"/>
      <w:suppressAutoHyphens/>
    </w:pPr>
    <w:rPr>
      <w:rFonts w:eastAsia="Andale Sans UI" w:cs="Tahoma"/>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391432591322">
    <w:name w:val="edf_1391432591322"/>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44233752812">
    <w:name w:val="edf_1344233752812"/>
    <w:pPr>
      <w:widowControl w:val="0"/>
      <w:suppressAutoHyphens/>
    </w:pPr>
    <w:rPr>
      <w:rFonts w:eastAsia="Andale Sans UI" w:cs="Tahoma"/>
      <w:kern w:val="2"/>
      <w:sz w:val="24"/>
      <w:szCs w:val="24"/>
      <w:lang w:eastAsia="ja-JP" w:bidi="fa-IR"/>
    </w:rPr>
  </w:style>
  <w:style w:type="paragraph" w:customStyle="1" w:styleId="edf1503496475962">
    <w:name w:val="edf_1503496475962"/>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62366472141">
    <w:name w:val="edf_1462366472141"/>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basedOn w:val="Normal"/>
    <w:link w:val="AltBilgiChar"/>
    <w:uiPriority w:val="99"/>
    <w:unhideWhenUsed/>
    <w:rsid w:val="00FB5BB2"/>
    <w:pPr>
      <w:tabs>
        <w:tab w:val="center" w:pos="4536"/>
        <w:tab w:val="right" w:pos="9072"/>
      </w:tabs>
    </w:pPr>
  </w:style>
  <w:style w:type="character" w:customStyle="1" w:styleId="AltBilgiChar">
    <w:name w:val="Alt Bilgi Char"/>
    <w:basedOn w:val="VarsaylanParagrafYazTipi"/>
    <w:link w:val="AltBilgi"/>
    <w:uiPriority w:val="99"/>
    <w:rsid w:val="00FB5BB2"/>
    <w:rPr>
      <w:rFonts w:eastAsia="Andale Sans U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NotRelyOnCSS/>
  <w:doNotOrganizeInFold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1235</Words>
  <Characters>7046</Characters>
  <Application>Microsoft Office Word</Application>
  <DocSecurity>0</DocSecurity>
  <Lines>58</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Aslı BÜYÜKCAM</dc:creator>
  <cp:keywords/>
  <cp:lastModifiedBy>Çağrı ÇAKIR</cp:lastModifiedBy>
  <cp:revision>3</cp:revision>
  <cp:lastPrinted>1995-11-21T14:41:00Z</cp:lastPrinted>
  <dcterms:created xsi:type="dcterms:W3CDTF">2025-01-09T12:07:00Z</dcterms:created>
  <dcterms:modified xsi:type="dcterms:W3CDTF">2025-01-15T08:21:00Z</dcterms:modified>
</cp:coreProperties>
</file>