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662DF" w:rsidRDefault="00A662DF" w:rsidP="00A662DF">
      <w:pPr>
        <w:widowControl/>
        <w:suppressAutoHyphens w:val="0"/>
        <w:spacing w:after="200"/>
        <w:ind w:left="283" w:right="283" w:firstLine="567"/>
        <w:jc w:val="both"/>
        <w:rPr>
          <w:b/>
          <w:color w:val="010000"/>
          <w:sz w:val="28"/>
        </w:rPr>
      </w:pPr>
    </w:p>
    <w:p w:rsidR="00A662DF" w:rsidRDefault="00A662DF" w:rsidP="00A662DF">
      <w:pPr>
        <w:widowControl/>
        <w:suppressAutoHyphens w:val="0"/>
        <w:spacing w:after="200"/>
        <w:ind w:left="283" w:right="283" w:firstLine="567"/>
        <w:jc w:val="both"/>
        <w:rPr>
          <w:b/>
          <w:color w:val="010000"/>
          <w:sz w:val="28"/>
        </w:rPr>
      </w:pPr>
    </w:p>
    <w:p w:rsidR="00A662DF" w:rsidRDefault="00A662DF" w:rsidP="00A662DF">
      <w:pPr>
        <w:widowControl/>
        <w:suppressAutoHyphens w:val="0"/>
        <w:spacing w:after="200"/>
        <w:ind w:left="283" w:right="283" w:firstLine="567"/>
        <w:jc w:val="both"/>
        <w:rPr>
          <w:b/>
          <w:color w:val="010000"/>
          <w:sz w:val="28"/>
        </w:rPr>
      </w:pPr>
    </w:p>
    <w:p w:rsidR="00A662DF" w:rsidRDefault="00A662DF" w:rsidP="00A662DF">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sz w:val="28"/>
              </w:rPr>
            </w:pPr>
            <w:r>
              <w:rPr>
                <w:b/>
                <w:color w:val="010000"/>
                <w:sz w:val="28"/>
              </w:rPr>
              <w:t>TÜRKİYE CUMHURİYETİ</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sz w:val="32"/>
              </w:rPr>
            </w:pPr>
            <w:r>
              <w:rPr>
                <w:b/>
                <w:color w:val="010000"/>
                <w:sz w:val="32"/>
              </w:rPr>
              <w:t>ANAYASA MAHKEMESİ</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r>
              <w:rPr>
                <w:b/>
                <w:color w:val="010000"/>
              </w:rPr>
              <w:t>BİRİNCİ BÖLÜM</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r>
              <w:rPr>
                <w:b/>
                <w:color w:val="010000"/>
              </w:rPr>
              <w:t>KARAR</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r>
              <w:rPr>
                <w:b/>
                <w:color w:val="010000"/>
              </w:rPr>
              <w:t>HÜSEYİN TÜRK BAŞVURUSU</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color w:val="010000"/>
              </w:rPr>
            </w:pPr>
            <w:r>
              <w:rPr>
                <w:color w:val="010000"/>
              </w:rPr>
              <w:t>(Başvuru Numarası: 2021/34421</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color w:val="010000"/>
              </w:rPr>
            </w:pPr>
            <w:r>
              <w:rPr>
                <w:color w:val="010000"/>
              </w:rPr>
              <w:t>Karar Tarihi:10/12/2024</w:t>
            </w: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r w:rsidR="00A662DF" w:rsidRPr="00A662DF" w:rsidTr="00A662DF">
        <w:tblPrEx>
          <w:tblCellMar>
            <w:top w:w="0" w:type="dxa"/>
            <w:bottom w:w="0" w:type="dxa"/>
          </w:tblCellMar>
        </w:tblPrEx>
        <w:trPr>
          <w:trHeight w:val="500"/>
          <w:jc w:val="center"/>
        </w:trPr>
        <w:tc>
          <w:tcPr>
            <w:tcW w:w="9072" w:type="dxa"/>
            <w:vAlign w:val="center"/>
          </w:tcPr>
          <w:p w:rsidR="00A662DF" w:rsidRPr="00A662DF" w:rsidRDefault="00A662DF" w:rsidP="00A662DF">
            <w:pPr>
              <w:widowControl/>
              <w:suppressAutoHyphens w:val="0"/>
              <w:spacing w:after="200"/>
              <w:ind w:right="283"/>
              <w:jc w:val="center"/>
              <w:rPr>
                <w:b/>
                <w:color w:val="010000"/>
              </w:rPr>
            </w:pPr>
          </w:p>
        </w:tc>
      </w:tr>
    </w:tbl>
    <w:p w:rsidR="00A662DF" w:rsidRDefault="00A662DF" w:rsidP="00A662DF">
      <w:pPr>
        <w:widowControl/>
        <w:suppressAutoHyphens w:val="0"/>
        <w:spacing w:after="200"/>
        <w:ind w:left="283" w:right="283" w:firstLine="567"/>
        <w:jc w:val="both"/>
        <w:rPr>
          <w:b/>
          <w:color w:val="010000"/>
        </w:rPr>
        <w:sectPr w:rsidR="00A662DF" w:rsidSect="00A662DF">
          <w:headerReference w:type="default" r:id="rId6"/>
          <w:footerReference w:type="default" r:id="rId7"/>
          <w:pgSz w:w="11906" w:h="16838"/>
          <w:pgMar w:top="976" w:right="1417" w:bottom="941" w:left="1417" w:header="400" w:footer="400" w:gutter="0"/>
          <w:cols w:space="708"/>
          <w:titlePg/>
          <w:docGrid w:linePitch="600" w:charSpace="32768"/>
        </w:sectPr>
      </w:pPr>
    </w:p>
    <w:p w:rsidR="00A662DF" w:rsidRDefault="00A662DF" w:rsidP="00A662DF">
      <w:pPr>
        <w:widowControl/>
        <w:suppressAutoHyphens w:val="0"/>
        <w:spacing w:after="200"/>
        <w:ind w:left="283" w:right="283" w:firstLine="567"/>
        <w:jc w:val="both"/>
        <w:rPr>
          <w:b/>
          <w:color w:val="010000"/>
        </w:rPr>
      </w:pPr>
    </w:p>
    <w:p w:rsidR="001A35C2" w:rsidRPr="00A662DF" w:rsidRDefault="006763F4" w:rsidP="00A662DF">
      <w:pPr>
        <w:widowControl/>
        <w:suppressAutoHyphens w:val="0"/>
        <w:spacing w:after="200"/>
        <w:ind w:left="283" w:right="283" w:firstLine="1"/>
        <w:jc w:val="center"/>
        <w:rPr>
          <w:color w:val="010000"/>
        </w:rPr>
      </w:pPr>
      <w:r w:rsidRPr="00A662DF">
        <w:rPr>
          <w:b/>
          <w:color w:val="010000"/>
        </w:rPr>
        <w:t>BİRİNCİ BÖLÜM</w:t>
      </w:r>
    </w:p>
    <w:p w:rsidR="001A35C2" w:rsidRPr="00A662DF" w:rsidRDefault="006763F4" w:rsidP="00A662DF">
      <w:pPr>
        <w:widowControl/>
        <w:suppressAutoHyphens w:val="0"/>
        <w:spacing w:after="200"/>
        <w:ind w:left="283" w:right="283" w:firstLine="1"/>
        <w:jc w:val="center"/>
        <w:rPr>
          <w:color w:val="010000"/>
        </w:rPr>
      </w:pPr>
      <w:r w:rsidRPr="00A662DF">
        <w:rPr>
          <w:b/>
          <w:color w:val="010000"/>
        </w:rPr>
        <w:t>KARAR</w:t>
      </w:r>
    </w:p>
    <w:p w:rsidR="00A662DF" w:rsidRDefault="00A662DF" w:rsidP="00A662DF">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r w:rsidRPr="00A662DF">
              <w:rPr>
                <w:b/>
                <w:color w:val="010000"/>
              </w:rPr>
              <w:t>Başkan</w:t>
            </w:r>
          </w:p>
        </w:tc>
        <w:tc>
          <w:tcPr>
            <w:tcW w:w="200" w:type="dxa"/>
          </w:tcPr>
          <w:p w:rsidR="00A662DF" w:rsidRPr="00A662DF" w:rsidRDefault="00A662DF" w:rsidP="00A662DF">
            <w:pPr>
              <w:widowControl/>
              <w:suppressAutoHyphens w:val="0"/>
              <w:rPr>
                <w:b/>
                <w:color w:val="010000"/>
              </w:rPr>
            </w:pPr>
            <w:r w:rsidRPr="00A662DF">
              <w:rPr>
                <w:b/>
                <w:color w:val="010000"/>
              </w:rPr>
              <w:t>:</w:t>
            </w:r>
          </w:p>
        </w:tc>
        <w:tc>
          <w:tcPr>
            <w:tcW w:w="5400" w:type="dxa"/>
          </w:tcPr>
          <w:p w:rsidR="00A662DF" w:rsidRPr="00A662DF" w:rsidRDefault="00A662DF" w:rsidP="00A662DF">
            <w:pPr>
              <w:widowControl/>
              <w:suppressAutoHyphens w:val="0"/>
              <w:rPr>
                <w:color w:val="010000"/>
              </w:rPr>
            </w:pPr>
            <w:r w:rsidRPr="00A662DF">
              <w:rPr>
                <w:color w:val="010000"/>
              </w:rPr>
              <w:t>Hasan Tahsin GÖKCAN</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r w:rsidRPr="00A662DF">
              <w:rPr>
                <w:b/>
                <w:color w:val="010000"/>
              </w:rPr>
              <w:t>Üyeler</w:t>
            </w:r>
          </w:p>
        </w:tc>
        <w:tc>
          <w:tcPr>
            <w:tcW w:w="200" w:type="dxa"/>
          </w:tcPr>
          <w:p w:rsidR="00A662DF" w:rsidRPr="00A662DF" w:rsidRDefault="00A662DF" w:rsidP="00A662DF">
            <w:pPr>
              <w:widowControl/>
              <w:suppressAutoHyphens w:val="0"/>
              <w:rPr>
                <w:b/>
                <w:color w:val="010000"/>
              </w:rPr>
            </w:pPr>
            <w:r w:rsidRPr="00A662DF">
              <w:rPr>
                <w:b/>
                <w:color w:val="010000"/>
              </w:rPr>
              <w:t>:</w:t>
            </w:r>
          </w:p>
        </w:tc>
        <w:tc>
          <w:tcPr>
            <w:tcW w:w="5400" w:type="dxa"/>
          </w:tcPr>
          <w:p w:rsidR="00A662DF" w:rsidRPr="00A662DF" w:rsidRDefault="00A662DF" w:rsidP="00A662DF">
            <w:pPr>
              <w:widowControl/>
              <w:suppressAutoHyphens w:val="0"/>
              <w:rPr>
                <w:color w:val="010000"/>
              </w:rPr>
            </w:pPr>
            <w:r w:rsidRPr="00A662DF">
              <w:rPr>
                <w:color w:val="010000"/>
              </w:rPr>
              <w:t>Recai AKYEL</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p>
        </w:tc>
        <w:tc>
          <w:tcPr>
            <w:tcW w:w="200" w:type="dxa"/>
          </w:tcPr>
          <w:p w:rsidR="00A662DF" w:rsidRPr="00A662DF" w:rsidRDefault="00A662DF" w:rsidP="00A662DF">
            <w:pPr>
              <w:widowControl/>
              <w:suppressAutoHyphens w:val="0"/>
              <w:rPr>
                <w:b/>
                <w:color w:val="010000"/>
              </w:rPr>
            </w:pPr>
          </w:p>
        </w:tc>
        <w:tc>
          <w:tcPr>
            <w:tcW w:w="5400" w:type="dxa"/>
          </w:tcPr>
          <w:p w:rsidR="00A662DF" w:rsidRPr="00A662DF" w:rsidRDefault="00A662DF" w:rsidP="00A662DF">
            <w:pPr>
              <w:widowControl/>
              <w:suppressAutoHyphens w:val="0"/>
              <w:rPr>
                <w:color w:val="010000"/>
              </w:rPr>
            </w:pPr>
            <w:r w:rsidRPr="00A662DF">
              <w:rPr>
                <w:color w:val="010000"/>
              </w:rPr>
              <w:t>Selahaddin MENTEŞ</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p>
        </w:tc>
        <w:tc>
          <w:tcPr>
            <w:tcW w:w="200" w:type="dxa"/>
          </w:tcPr>
          <w:p w:rsidR="00A662DF" w:rsidRPr="00A662DF" w:rsidRDefault="00A662DF" w:rsidP="00A662DF">
            <w:pPr>
              <w:widowControl/>
              <w:suppressAutoHyphens w:val="0"/>
              <w:rPr>
                <w:b/>
                <w:color w:val="010000"/>
              </w:rPr>
            </w:pPr>
          </w:p>
        </w:tc>
        <w:tc>
          <w:tcPr>
            <w:tcW w:w="5400" w:type="dxa"/>
          </w:tcPr>
          <w:p w:rsidR="00A662DF" w:rsidRPr="00A662DF" w:rsidRDefault="00A662DF" w:rsidP="00A662DF">
            <w:pPr>
              <w:widowControl/>
              <w:suppressAutoHyphens w:val="0"/>
              <w:rPr>
                <w:color w:val="010000"/>
              </w:rPr>
            </w:pPr>
            <w:r w:rsidRPr="00A662DF">
              <w:rPr>
                <w:color w:val="010000"/>
              </w:rPr>
              <w:t>Muhterem İNCE</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p>
        </w:tc>
        <w:tc>
          <w:tcPr>
            <w:tcW w:w="200" w:type="dxa"/>
          </w:tcPr>
          <w:p w:rsidR="00A662DF" w:rsidRPr="00A662DF" w:rsidRDefault="00A662DF" w:rsidP="00A662DF">
            <w:pPr>
              <w:widowControl/>
              <w:suppressAutoHyphens w:val="0"/>
              <w:rPr>
                <w:b/>
                <w:color w:val="010000"/>
              </w:rPr>
            </w:pPr>
          </w:p>
        </w:tc>
        <w:tc>
          <w:tcPr>
            <w:tcW w:w="5400" w:type="dxa"/>
          </w:tcPr>
          <w:p w:rsidR="00A662DF" w:rsidRPr="00A662DF" w:rsidRDefault="00A662DF" w:rsidP="00A662DF">
            <w:pPr>
              <w:widowControl/>
              <w:suppressAutoHyphens w:val="0"/>
              <w:rPr>
                <w:color w:val="010000"/>
              </w:rPr>
            </w:pPr>
            <w:r w:rsidRPr="00A662DF">
              <w:rPr>
                <w:color w:val="010000"/>
              </w:rPr>
              <w:t>Yılmaz AKÇİL</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r w:rsidRPr="00A662DF">
              <w:rPr>
                <w:b/>
                <w:color w:val="010000"/>
              </w:rPr>
              <w:t>Raportör</w:t>
            </w:r>
          </w:p>
        </w:tc>
        <w:tc>
          <w:tcPr>
            <w:tcW w:w="200" w:type="dxa"/>
          </w:tcPr>
          <w:p w:rsidR="00A662DF" w:rsidRPr="00A662DF" w:rsidRDefault="00A662DF" w:rsidP="00A662DF">
            <w:pPr>
              <w:widowControl/>
              <w:suppressAutoHyphens w:val="0"/>
              <w:rPr>
                <w:b/>
                <w:color w:val="010000"/>
              </w:rPr>
            </w:pPr>
            <w:r w:rsidRPr="00A662DF">
              <w:rPr>
                <w:b/>
                <w:color w:val="010000"/>
              </w:rPr>
              <w:t>:</w:t>
            </w:r>
          </w:p>
        </w:tc>
        <w:tc>
          <w:tcPr>
            <w:tcW w:w="5400" w:type="dxa"/>
          </w:tcPr>
          <w:p w:rsidR="00A662DF" w:rsidRPr="00A662DF" w:rsidRDefault="00A662DF" w:rsidP="00A662DF">
            <w:pPr>
              <w:widowControl/>
              <w:suppressAutoHyphens w:val="0"/>
              <w:rPr>
                <w:color w:val="010000"/>
              </w:rPr>
            </w:pPr>
            <w:r w:rsidRPr="00A662DF">
              <w:rPr>
                <w:color w:val="010000"/>
              </w:rPr>
              <w:t>Mehmet ALTUNDİŞ</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r w:rsidRPr="00A662DF">
              <w:rPr>
                <w:b/>
                <w:color w:val="010000"/>
              </w:rPr>
              <w:t>Başvurucu</w:t>
            </w:r>
          </w:p>
        </w:tc>
        <w:tc>
          <w:tcPr>
            <w:tcW w:w="200" w:type="dxa"/>
          </w:tcPr>
          <w:p w:rsidR="00A662DF" w:rsidRPr="00A662DF" w:rsidRDefault="00A662DF" w:rsidP="00A662DF">
            <w:pPr>
              <w:widowControl/>
              <w:suppressAutoHyphens w:val="0"/>
              <w:rPr>
                <w:b/>
                <w:color w:val="010000"/>
              </w:rPr>
            </w:pPr>
            <w:r w:rsidRPr="00A662DF">
              <w:rPr>
                <w:b/>
                <w:color w:val="010000"/>
              </w:rPr>
              <w:t>:</w:t>
            </w:r>
          </w:p>
        </w:tc>
        <w:tc>
          <w:tcPr>
            <w:tcW w:w="5400" w:type="dxa"/>
          </w:tcPr>
          <w:p w:rsidR="00A662DF" w:rsidRPr="00A662DF" w:rsidRDefault="00A662DF" w:rsidP="00A662DF">
            <w:pPr>
              <w:widowControl/>
              <w:suppressAutoHyphens w:val="0"/>
              <w:rPr>
                <w:color w:val="010000"/>
              </w:rPr>
            </w:pPr>
            <w:r w:rsidRPr="00A662DF">
              <w:rPr>
                <w:color w:val="010000"/>
              </w:rPr>
              <w:t>Hüseyin TÜRK</w:t>
            </w:r>
          </w:p>
        </w:tc>
      </w:tr>
      <w:tr w:rsidR="00A662DF" w:rsidRPr="00A662DF" w:rsidTr="00A662DF">
        <w:tblPrEx>
          <w:tblCellMar>
            <w:top w:w="0" w:type="dxa"/>
            <w:bottom w:w="0" w:type="dxa"/>
          </w:tblCellMar>
        </w:tblPrEx>
        <w:trPr>
          <w:trHeight w:val="454"/>
        </w:trPr>
        <w:tc>
          <w:tcPr>
            <w:tcW w:w="2400" w:type="dxa"/>
          </w:tcPr>
          <w:p w:rsidR="00A662DF" w:rsidRPr="00A662DF" w:rsidRDefault="00A662DF" w:rsidP="00A662DF">
            <w:pPr>
              <w:widowControl/>
              <w:suppressAutoHyphens w:val="0"/>
              <w:rPr>
                <w:b/>
                <w:color w:val="010000"/>
              </w:rPr>
            </w:pPr>
            <w:r w:rsidRPr="00A662DF">
              <w:rPr>
                <w:b/>
                <w:color w:val="010000"/>
              </w:rPr>
              <w:t>Vekili</w:t>
            </w:r>
          </w:p>
        </w:tc>
        <w:tc>
          <w:tcPr>
            <w:tcW w:w="200" w:type="dxa"/>
          </w:tcPr>
          <w:p w:rsidR="00A662DF" w:rsidRPr="00A662DF" w:rsidRDefault="00A662DF" w:rsidP="00A662DF">
            <w:pPr>
              <w:widowControl/>
              <w:suppressAutoHyphens w:val="0"/>
              <w:rPr>
                <w:b/>
                <w:color w:val="010000"/>
              </w:rPr>
            </w:pPr>
            <w:r w:rsidRPr="00A662DF">
              <w:rPr>
                <w:b/>
                <w:color w:val="010000"/>
              </w:rPr>
              <w:t>:</w:t>
            </w:r>
          </w:p>
        </w:tc>
        <w:tc>
          <w:tcPr>
            <w:tcW w:w="5400" w:type="dxa"/>
          </w:tcPr>
          <w:p w:rsidR="00A662DF" w:rsidRPr="00A662DF" w:rsidRDefault="00A662DF" w:rsidP="00A662DF">
            <w:pPr>
              <w:widowControl/>
              <w:suppressAutoHyphens w:val="0"/>
              <w:rPr>
                <w:color w:val="010000"/>
              </w:rPr>
            </w:pPr>
            <w:r w:rsidRPr="00A662DF">
              <w:rPr>
                <w:color w:val="010000"/>
              </w:rPr>
              <w:t>Av. Mehmet ELİKÜÇÜK</w:t>
            </w:r>
          </w:p>
        </w:tc>
      </w:tr>
    </w:tbl>
    <w:p w:rsidR="00A662DF" w:rsidRDefault="00A662DF" w:rsidP="00A662DF">
      <w:pPr>
        <w:widowControl/>
        <w:suppressAutoHyphens w:val="0"/>
        <w:spacing w:after="200"/>
        <w:ind w:left="283" w:right="283" w:firstLine="567"/>
        <w:jc w:val="both"/>
        <w:rPr>
          <w:b/>
          <w:color w:val="010000"/>
        </w:rPr>
      </w:pPr>
    </w:p>
    <w:p w:rsidR="001A35C2" w:rsidRPr="00A662DF" w:rsidRDefault="006763F4" w:rsidP="00A662DF">
      <w:pPr>
        <w:widowControl/>
        <w:suppressAutoHyphens w:val="0"/>
        <w:spacing w:after="200"/>
        <w:ind w:left="283" w:right="283" w:firstLine="567"/>
        <w:jc w:val="both"/>
        <w:rPr>
          <w:color w:val="010000"/>
        </w:rPr>
      </w:pPr>
      <w:bookmarkStart w:id="0" w:name="_GoBack"/>
      <w:bookmarkEnd w:id="0"/>
      <w:r w:rsidRPr="00A662DF">
        <w:rPr>
          <w:b/>
          <w:color w:val="010000"/>
        </w:rPr>
        <w:t>I.</w:t>
      </w:r>
      <w:r w:rsidR="00A662DF" w:rsidRPr="00A662DF">
        <w:rPr>
          <w:color w:val="010000"/>
        </w:rPr>
        <w:t xml:space="preserve"> </w:t>
      </w:r>
      <w:r w:rsidRPr="00A662DF">
        <w:rPr>
          <w:b/>
          <w:color w:val="010000"/>
        </w:rPr>
        <w:t>BAŞVURUNUN ÖZETİ</w:t>
      </w:r>
    </w:p>
    <w:p w:rsidR="001A35C2" w:rsidRPr="00A662DF" w:rsidRDefault="006763F4" w:rsidP="00A662DF">
      <w:pPr>
        <w:pStyle w:val="edf1450279197849"/>
        <w:widowControl/>
        <w:suppressAutoHyphens w:val="0"/>
        <w:spacing w:after="200"/>
        <w:ind w:left="283" w:right="283" w:firstLine="567"/>
        <w:jc w:val="both"/>
        <w:rPr>
          <w:rFonts w:cs="Times New Roman"/>
          <w:color w:val="010000"/>
        </w:rPr>
      </w:pPr>
      <w:r w:rsidRPr="00A662DF">
        <w:rPr>
          <w:rFonts w:cs="Times New Roman"/>
          <w:color w:val="010000"/>
        </w:rPr>
        <w:t>1.</w:t>
      </w:r>
      <w:r w:rsidR="00A662DF" w:rsidRPr="00A662DF">
        <w:rPr>
          <w:rFonts w:cs="Times New Roman"/>
          <w:color w:val="010000"/>
        </w:rPr>
        <w:t xml:space="preserve"> </w:t>
      </w:r>
      <w:r w:rsidRPr="00A662DF">
        <w:rPr>
          <w:rFonts w:cs="Times New Roman"/>
          <w:color w:val="010000"/>
        </w:rPr>
        <w:t>Başvuru, şirkete yatırılan paranın iadesi talebiyle açılan dava sırasında yapılan kanuni düzenleme sonucu alacağın tahsil imkânının ortadan kaldırılması nedeniyle mülkiyet hakkıyla bağlantılı olarak etkili başvuru hakkının ihlal edildiği iddialarına ilişkindir. Başvurucu, nihai kararı 3/5/2021 tarihinde öğrendikten sonra 6/5/2021 tarihinde bireysel başvuruda bulunmuştur. Başvuru, süresinde yapılmıştır. Başvurunun kabul edilebilirlik incelemesinin Bölüm tarafından yapılmasına karar verilmiştir.</w:t>
      </w:r>
    </w:p>
    <w:p w:rsidR="001A35C2" w:rsidRPr="00A662DF" w:rsidRDefault="006763F4" w:rsidP="00A662DF">
      <w:pPr>
        <w:pStyle w:val="edf1450279197849"/>
        <w:widowControl/>
        <w:suppressAutoHyphens w:val="0"/>
        <w:spacing w:after="200"/>
        <w:ind w:left="283" w:right="283" w:firstLine="567"/>
        <w:jc w:val="both"/>
        <w:rPr>
          <w:rFonts w:cs="Times New Roman"/>
          <w:color w:val="010000"/>
        </w:rPr>
      </w:pPr>
      <w:r w:rsidRPr="00A662DF">
        <w:rPr>
          <w:rFonts w:cs="Times New Roman"/>
          <w:b/>
          <w:color w:val="010000"/>
        </w:rPr>
        <w:t>II. DEĞERLENDİRME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2.</w:t>
      </w:r>
      <w:r w:rsidR="00A662DF" w:rsidRPr="00A662DF">
        <w:rPr>
          <w:color w:val="010000"/>
        </w:rPr>
        <w:t xml:space="preserve"> </w:t>
      </w:r>
      <w:r w:rsidRPr="00A662DF">
        <w:rPr>
          <w:color w:val="010000"/>
        </w:rPr>
        <w:t xml:space="preserve">Anayasa Mahkemesi, olay ve olguları somut başvuru ile benzer nitelikte olan </w:t>
      </w:r>
      <w:r w:rsidRPr="00A662DF">
        <w:rPr>
          <w:i/>
          <w:iCs/>
          <w:color w:val="010000"/>
        </w:rPr>
        <w:t>Turgay Kılıç</w:t>
      </w:r>
      <w:r w:rsidRPr="00A662DF">
        <w:rPr>
          <w:color w:val="010000"/>
        </w:rPr>
        <w:t xml:space="preserve"> (B. No: 2020/21022, 14/12/2023) kararında uygulanacak anayasal ilkeleri belirlemiştir. Bu çerçevede alacağın tahsili için uygun hukuki yollara başvurmasına rağmen yargılama sırasında yapılan kanuni düzenleme nedeniyle hukuki mekanizmaları işletme imkânından mahrum bırakılan başvurucunun Anayasa'nın 35. maddesinde güvence altına alınan mülkiyet hakkı ile bağlantılı olarak Anayasa'nın 40. maddesinde düzenlenen etkili başvuru hakkının ihlal edildiğine karar verilmiştir. Somut başvuruda anılan kararda açıklanan ilkelerden ve ulaşılan sonuçtan ayrılmayı gerektiren bir durum bulunmamaktadır. Bu doğrultuda başvurucunun Anayasa'nın 35. maddesinde güvence altına alınan mülkiyet hakkı ile bağlantılı olarak Anayasa'nın 40. maddesinde düzenlenen etkili başvuru hakkının ihlal edildiğine karar verilmesi gerekir.</w:t>
      </w:r>
    </w:p>
    <w:p w:rsidR="001A35C2" w:rsidRPr="00A662DF" w:rsidRDefault="006763F4" w:rsidP="00A662DF">
      <w:pPr>
        <w:widowControl/>
        <w:suppressAutoHyphens w:val="0"/>
        <w:spacing w:after="200"/>
        <w:ind w:left="283" w:right="283" w:firstLine="567"/>
        <w:jc w:val="both"/>
        <w:rPr>
          <w:color w:val="010000"/>
        </w:rPr>
      </w:pPr>
      <w:r w:rsidRPr="00A662DF">
        <w:rPr>
          <w:b/>
          <w:color w:val="010000"/>
        </w:rPr>
        <w:t>III.</w:t>
      </w:r>
      <w:r w:rsidR="00A662DF" w:rsidRPr="00A662DF">
        <w:rPr>
          <w:color w:val="010000"/>
        </w:rPr>
        <w:t xml:space="preserve"> </w:t>
      </w:r>
      <w:r w:rsidRPr="00A662DF">
        <w:rPr>
          <w:b/>
          <w:color w:val="010000"/>
        </w:rPr>
        <w:t>GİDERİM</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3. Başvurucu, maddi ve manevi tazminat ödenmesi talebinde bulunmuştur. Başvuruda tespit edilen hak ihlalinin sonuçlarının ortadan kaldırılması için yeniden yargılama</w:t>
      </w:r>
      <w:r w:rsidRPr="00A662DF">
        <w:rPr>
          <w:b/>
          <w:i/>
          <w:iCs/>
          <w:color w:val="010000"/>
        </w:rPr>
        <w:t xml:space="preserve"> </w:t>
      </w:r>
      <w:r w:rsidRPr="00A662DF">
        <w:rPr>
          <w:color w:val="010000"/>
        </w:rPr>
        <w:t>yapılmasında hukuki yarar bulunmaktadır. Bu kapsamda kararın gönderildiği yargı mercilerince yapılması gereken iş, dava dosyalarını ilk derece mahkemesinden temin ederek yeniden yargılama işlemlerini başlatmak ve Anayasa Mahkemesini ihlal sonucuna ulaştıran nedenleri gideren, ihlal kararında belirtilen ilkelere uygun yeni bir karar vermektir (</w:t>
      </w:r>
      <w:r w:rsidRPr="00A662DF">
        <w:rPr>
          <w:i/>
          <w:iCs/>
          <w:color w:val="010000"/>
        </w:rPr>
        <w:t>Mehmet Doğan</w:t>
      </w:r>
      <w:r w:rsidRPr="00A662DF">
        <w:rPr>
          <w:color w:val="010000"/>
        </w:rPr>
        <w:t xml:space="preserve"> [GK], B. No: 2014/8875, 7/6/2018, §§ 54-60; </w:t>
      </w:r>
      <w:r w:rsidRPr="00A662DF">
        <w:rPr>
          <w:i/>
          <w:iCs/>
          <w:color w:val="010000"/>
        </w:rPr>
        <w:t xml:space="preserve">Aligül </w:t>
      </w:r>
      <w:r w:rsidRPr="00A662DF">
        <w:rPr>
          <w:i/>
          <w:iCs/>
          <w:color w:val="010000"/>
        </w:rPr>
        <w:lastRenderedPageBreak/>
        <w:t>Alkaya ve diğerleri (2)</w:t>
      </w:r>
      <w:r w:rsidRPr="00A662DF">
        <w:rPr>
          <w:color w:val="010000"/>
        </w:rPr>
        <w:t xml:space="preserve">, B. No: 2016/12506, 7/11/2019, §§ 53-60, 66; </w:t>
      </w:r>
      <w:r w:rsidRPr="00A662DF">
        <w:rPr>
          <w:i/>
          <w:iCs/>
          <w:color w:val="010000"/>
        </w:rPr>
        <w:t xml:space="preserve">Kadri Enis Berberoğlu (3) </w:t>
      </w:r>
      <w:r w:rsidRPr="00A662DF">
        <w:rPr>
          <w:color w:val="010000"/>
        </w:rPr>
        <w:t>[GK], B. No: 2020/32949, 21/1/2021, §§ 93-100). İhlalin ve sonuçlarının ortadan kaldırılması için yeniden yargılama yapılmasının yeterli giderim sağlayacağı anlaşıldığından maddi ve manevi tazminat taleplerinin reddine karar verilmesi gerekir.</w:t>
      </w:r>
    </w:p>
    <w:p w:rsidR="001A35C2" w:rsidRPr="00A662DF" w:rsidRDefault="006763F4" w:rsidP="00A662DF">
      <w:pPr>
        <w:widowControl/>
        <w:suppressAutoHyphens w:val="0"/>
        <w:spacing w:after="200"/>
        <w:ind w:left="283" w:right="283" w:firstLine="567"/>
        <w:jc w:val="both"/>
        <w:rPr>
          <w:color w:val="010000"/>
        </w:rPr>
      </w:pPr>
      <w:r w:rsidRPr="00A662DF">
        <w:rPr>
          <w:b/>
          <w:color w:val="010000"/>
        </w:rPr>
        <w:t>IV.</w:t>
      </w:r>
      <w:r w:rsidR="00A662DF" w:rsidRPr="00A662DF">
        <w:rPr>
          <w:color w:val="010000"/>
        </w:rPr>
        <w:t xml:space="preserve"> </w:t>
      </w:r>
      <w:r w:rsidRPr="00A662DF">
        <w:rPr>
          <w:b/>
          <w:color w:val="010000"/>
        </w:rPr>
        <w:t>HÜKÜM</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Açıklanan gerekçelerle;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A.</w:t>
      </w:r>
      <w:r w:rsidR="00A662DF" w:rsidRPr="00A662DF">
        <w:rPr>
          <w:color w:val="010000"/>
        </w:rPr>
        <w:t xml:space="preserve"> </w:t>
      </w:r>
      <w:r w:rsidRPr="00A662DF">
        <w:rPr>
          <w:color w:val="010000"/>
        </w:rPr>
        <w:t>Mülkiyet hakkıyla bağlantılı olarak etkili başvuru hakkının ihlal edildiğine ilişkin iddianın KABUL EDİLEBİLİR OLDUĞUNA,</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B.</w:t>
      </w:r>
      <w:r w:rsidR="00A662DF" w:rsidRPr="00A662DF">
        <w:rPr>
          <w:color w:val="010000"/>
        </w:rPr>
        <w:t xml:space="preserve"> </w:t>
      </w:r>
      <w:r w:rsidRPr="00A662DF">
        <w:rPr>
          <w:color w:val="010000"/>
        </w:rPr>
        <w:t>Anayasa’nın 35. maddesinde güvence altına alınan mülkiyet hakkı ile bağlantılı olarak Anayasa'nın 40. maddesinde düzenlenen etkili başvuru hakkının İHLAL EDİLDİĞİNE,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C.</w:t>
      </w:r>
      <w:r w:rsidR="00A662DF" w:rsidRPr="00A662DF">
        <w:rPr>
          <w:color w:val="010000"/>
        </w:rPr>
        <w:t xml:space="preserve"> </w:t>
      </w:r>
      <w:r w:rsidRPr="00A662DF">
        <w:rPr>
          <w:color w:val="010000"/>
        </w:rPr>
        <w:t>Kararın bir örneğinin mülkiyet hakkı ile bağlantılı olarak etkili başvuru hakkının ihlalinin sonuçlarının ortadan kaldırılması için -dava dosyasının ilk derece mahkemesinden temin edilerek- yeniden yargılama yapılmak üzere Konya Bölge Adliye Mahkemesi 6. Hukuk Dairesine (E.2019/1655, K.2020/855) GÖNDERİLMESİNE,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D.</w:t>
      </w:r>
      <w:r w:rsidR="00A662DF" w:rsidRPr="00A662DF">
        <w:rPr>
          <w:color w:val="010000"/>
        </w:rPr>
        <w:t xml:space="preserve"> </w:t>
      </w:r>
      <w:r w:rsidRPr="00A662DF">
        <w:rPr>
          <w:color w:val="010000"/>
        </w:rPr>
        <w:t>Başvurucunun tazminat talebinin REDDİNE,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E.</w:t>
      </w:r>
      <w:r w:rsidR="00A662DF" w:rsidRPr="00A662DF">
        <w:rPr>
          <w:color w:val="010000"/>
        </w:rPr>
        <w:t xml:space="preserve"> </w:t>
      </w:r>
      <w:r w:rsidRPr="00A662DF">
        <w:rPr>
          <w:color w:val="010000"/>
        </w:rPr>
        <w:t>487,60 TL harç ile 30.000 TL vekâlet ücretinden oluşan toplam 30.487,60 TL yargılama giderinin başvurucuya ÖDENMESİNE,</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F.</w:t>
      </w:r>
      <w:r w:rsidR="00A662DF" w:rsidRPr="00A662DF">
        <w:rPr>
          <w:color w:val="010000"/>
        </w:rPr>
        <w:t xml:space="preserve"> </w:t>
      </w:r>
      <w:r w:rsidRPr="00A662DF">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A35C2" w:rsidRPr="00A662DF" w:rsidRDefault="006763F4" w:rsidP="00A662DF">
      <w:pPr>
        <w:widowControl/>
        <w:suppressAutoHyphens w:val="0"/>
        <w:spacing w:after="200"/>
        <w:ind w:left="283" w:right="283" w:firstLine="567"/>
        <w:jc w:val="both"/>
        <w:rPr>
          <w:color w:val="010000"/>
        </w:rPr>
      </w:pPr>
      <w:r w:rsidRPr="00A662DF">
        <w:rPr>
          <w:color w:val="010000"/>
        </w:rPr>
        <w:t>G.</w:t>
      </w:r>
      <w:r w:rsidR="00A662DF" w:rsidRPr="00A662DF">
        <w:rPr>
          <w:color w:val="010000"/>
        </w:rPr>
        <w:t xml:space="preserve"> </w:t>
      </w:r>
      <w:r w:rsidRPr="00A662DF">
        <w:rPr>
          <w:color w:val="010000"/>
        </w:rPr>
        <w:t xml:space="preserve">Kararın bir örneğinin Adalet Bakanlığına GÖNDERİLMESİNE 10/12/2024 tarihinde OYBİRLİĞİYLE karar verildi. </w:t>
      </w:r>
    </w:p>
    <w:sectPr w:rsidR="001A35C2" w:rsidRPr="00A662DF" w:rsidSect="00A662DF">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35C2" w:rsidRDefault="006763F4">
      <w:r>
        <w:separator/>
      </w:r>
    </w:p>
  </w:endnote>
  <w:endnote w:type="continuationSeparator" w:id="0">
    <w:p w:rsidR="001A35C2" w:rsidRDefault="006763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35C2" w:rsidRDefault="006763F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3</w:t>
    </w:r>
    <w:r>
      <w:rPr>
        <w:rFonts w:ascii="Arial" w:hAnsi="Arial"/>
        <w:color w:val="000000"/>
        <w:sz w:val="22"/>
      </w:rPr>
      <w:fldChar w:fldCharType="end"/>
    </w:r>
  </w:p>
  <w:p w:rsidR="001A35C2" w:rsidRDefault="001A35C2">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35C2" w:rsidRDefault="006763F4">
      <w:r>
        <w:separator/>
      </w:r>
    </w:p>
  </w:footnote>
  <w:footnote w:type="continuationSeparator" w:id="0">
    <w:p w:rsidR="001A35C2" w:rsidRDefault="006763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35C2" w:rsidRDefault="006763F4">
    <w:pPr>
      <w:pStyle w:val="stBilgi"/>
      <w:tabs>
        <w:tab w:val="left" w:pos="2020"/>
      </w:tabs>
      <w:spacing w:line="288" w:lineRule="exact"/>
    </w:pPr>
    <w:r>
      <w:t>Başvuru Numarası</w:t>
    </w:r>
    <w:r>
      <w:tab/>
      <w:t>: 2021/34421</w:t>
    </w:r>
  </w:p>
  <w:p w:rsidR="001A35C2" w:rsidRDefault="006763F4" w:rsidP="00A662DF">
    <w:pPr>
      <w:pStyle w:val="stBilgi"/>
      <w:tabs>
        <w:tab w:val="left" w:pos="2020"/>
      </w:tabs>
      <w:spacing w:line="288" w:lineRule="exact"/>
    </w:pPr>
    <w:r>
      <w:t>Karar Tarihi</w:t>
    </w:r>
    <w:r>
      <w:tab/>
      <w:t>: 10/12/2024</w:t>
    </w:r>
  </w:p>
  <w:p w:rsidR="00A662DF" w:rsidRDefault="00A662DF" w:rsidP="00A662DF">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3F4"/>
    <w:rsid w:val="001A35C2"/>
    <w:rsid w:val="006763F4"/>
    <w:rsid w:val="00A662D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49C4F42E"/>
  <w15:chartTrackingRefBased/>
  <w15:docId w15:val="{995AB634-A855-41E1-9011-8E2C7EFE6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edf1424252369604">
    <w:name w:val="edf_1424252369604"/>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586</Words>
  <Characters>3345</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EMEL ÜNSALAN</dc:creator>
  <cp:keywords/>
  <cp:lastModifiedBy>Sibel YÖNDEM</cp:lastModifiedBy>
  <cp:revision>3</cp:revision>
  <cp:lastPrinted>1995-11-21T14:41:00Z</cp:lastPrinted>
  <dcterms:created xsi:type="dcterms:W3CDTF">2025-05-13T10:43:00Z</dcterms:created>
  <dcterms:modified xsi:type="dcterms:W3CDTF">2025-05-14T14:27:00Z</dcterms:modified>
</cp:coreProperties>
</file>