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ackground w:color="FFFFFF"/>
  <w:body>
    <w:p w:rsidR="003C17A2" w:rsidRDefault="003C17A2" w:rsidP="003C17A2">
      <w:pPr>
        <w:widowControl/>
        <w:suppressAutoHyphens w:val="0"/>
        <w:spacing w:after="200"/>
        <w:ind w:left="283" w:right="283" w:firstLine="567"/>
        <w:jc w:val="both"/>
        <w:rPr>
          <w:b/>
          <w:color w:val="010000"/>
          <w:sz w:val="28"/>
        </w:rPr>
      </w:pPr>
    </w:p>
    <w:p w:rsidR="003C17A2" w:rsidRDefault="003C17A2" w:rsidP="003C17A2">
      <w:pPr>
        <w:widowControl/>
        <w:suppressAutoHyphens w:val="0"/>
        <w:spacing w:after="200"/>
        <w:ind w:left="283" w:right="283" w:firstLine="567"/>
        <w:jc w:val="both"/>
        <w:rPr>
          <w:b/>
          <w:color w:val="010000"/>
          <w:sz w:val="28"/>
        </w:rPr>
      </w:pPr>
    </w:p>
    <w:p w:rsidR="003C17A2" w:rsidRDefault="003C17A2" w:rsidP="003C17A2">
      <w:pPr>
        <w:widowControl/>
        <w:suppressAutoHyphens w:val="0"/>
        <w:spacing w:after="200"/>
        <w:ind w:left="283" w:right="283" w:firstLine="567"/>
        <w:jc w:val="both"/>
        <w:rPr>
          <w:b/>
          <w:color w:val="010000"/>
          <w:sz w:val="28"/>
        </w:rPr>
      </w:pPr>
    </w:p>
    <w:p w:rsidR="003C17A2" w:rsidRDefault="003C17A2" w:rsidP="003C17A2">
      <w:pPr>
        <w:widowControl/>
        <w:suppressAutoHyphens w:val="0"/>
        <w:spacing w:after="200"/>
        <w:ind w:left="283" w:right="283" w:firstLine="567"/>
        <w:jc w:val="both"/>
        <w:rPr>
          <w:b/>
          <w:color w:val="010000"/>
          <w:sz w:val="28"/>
        </w:rPr>
      </w:pPr>
    </w:p>
    <w:tbl>
      <w:tblPr>
        <w:tblW w:w="0" w:type="auto"/>
        <w:jc w:val="center"/>
        <w:tblLayout w:type="fixed"/>
        <w:tblCellMar>
          <w:left w:w="70" w:type="dxa"/>
          <w:right w:w="70" w:type="dxa"/>
        </w:tblCellMar>
        <w:tblLook w:val="0000" w:firstRow="0" w:lastRow="0" w:firstColumn="0" w:lastColumn="0" w:noHBand="0" w:noVBand="0"/>
      </w:tblPr>
      <w:tblGrid>
        <w:gridCol w:w="9212"/>
      </w:tblGrid>
      <w:tr w:rsidR="003C17A2" w:rsidRPr="003C17A2" w:rsidTr="003C17A2">
        <w:tblPrEx>
          <w:tblCellMar>
            <w:top w:w="0" w:type="dxa"/>
            <w:bottom w:w="0" w:type="dxa"/>
          </w:tblCellMar>
        </w:tblPrEx>
        <w:trPr>
          <w:trHeight w:val="500"/>
          <w:jc w:val="center"/>
        </w:trPr>
        <w:tc>
          <w:tcPr>
            <w:tcW w:w="9212" w:type="dxa"/>
            <w:vAlign w:val="center"/>
          </w:tcPr>
          <w:p w:rsidR="003C17A2" w:rsidRPr="003C17A2" w:rsidRDefault="003C17A2" w:rsidP="003C17A2">
            <w:pPr>
              <w:widowControl/>
              <w:suppressAutoHyphens w:val="0"/>
              <w:spacing w:after="200"/>
              <w:ind w:right="283"/>
              <w:jc w:val="center"/>
              <w:rPr>
                <w:b/>
                <w:color w:val="010000"/>
                <w:sz w:val="28"/>
              </w:rPr>
            </w:pPr>
            <w:r>
              <w:rPr>
                <w:b/>
                <w:color w:val="010000"/>
                <w:sz w:val="28"/>
              </w:rPr>
              <w:t>TÜRKİYE CUMHURİYETİ</w:t>
            </w:r>
          </w:p>
        </w:tc>
      </w:tr>
      <w:tr w:rsidR="003C17A2" w:rsidRPr="003C17A2" w:rsidTr="003C17A2">
        <w:tblPrEx>
          <w:tblCellMar>
            <w:top w:w="0" w:type="dxa"/>
            <w:bottom w:w="0" w:type="dxa"/>
          </w:tblCellMar>
        </w:tblPrEx>
        <w:trPr>
          <w:trHeight w:val="500"/>
          <w:jc w:val="center"/>
        </w:trPr>
        <w:tc>
          <w:tcPr>
            <w:tcW w:w="9212" w:type="dxa"/>
            <w:vAlign w:val="center"/>
          </w:tcPr>
          <w:p w:rsidR="003C17A2" w:rsidRPr="003C17A2" w:rsidRDefault="003C17A2" w:rsidP="003C17A2">
            <w:pPr>
              <w:widowControl/>
              <w:suppressAutoHyphens w:val="0"/>
              <w:spacing w:after="200"/>
              <w:ind w:right="283"/>
              <w:jc w:val="center"/>
              <w:rPr>
                <w:b/>
                <w:color w:val="010000"/>
                <w:sz w:val="32"/>
              </w:rPr>
            </w:pPr>
            <w:r>
              <w:rPr>
                <w:b/>
                <w:color w:val="010000"/>
                <w:sz w:val="32"/>
              </w:rPr>
              <w:t>ANAYASA MAHKEMESİ</w:t>
            </w:r>
          </w:p>
        </w:tc>
      </w:tr>
      <w:tr w:rsidR="003C17A2" w:rsidRPr="003C17A2" w:rsidTr="003C17A2">
        <w:tblPrEx>
          <w:tblCellMar>
            <w:top w:w="0" w:type="dxa"/>
            <w:bottom w:w="0" w:type="dxa"/>
          </w:tblCellMar>
        </w:tblPrEx>
        <w:trPr>
          <w:trHeight w:val="500"/>
          <w:jc w:val="center"/>
        </w:trPr>
        <w:tc>
          <w:tcPr>
            <w:tcW w:w="9212" w:type="dxa"/>
            <w:vAlign w:val="center"/>
          </w:tcPr>
          <w:p w:rsidR="003C17A2" w:rsidRPr="003C17A2" w:rsidRDefault="003C17A2" w:rsidP="003C17A2">
            <w:pPr>
              <w:widowControl/>
              <w:suppressAutoHyphens w:val="0"/>
              <w:spacing w:after="200"/>
              <w:ind w:right="283"/>
              <w:jc w:val="center"/>
              <w:rPr>
                <w:b/>
                <w:color w:val="010000"/>
              </w:rPr>
            </w:pPr>
          </w:p>
        </w:tc>
      </w:tr>
      <w:tr w:rsidR="003C17A2" w:rsidRPr="003C17A2" w:rsidTr="003C17A2">
        <w:tblPrEx>
          <w:tblCellMar>
            <w:top w:w="0" w:type="dxa"/>
            <w:bottom w:w="0" w:type="dxa"/>
          </w:tblCellMar>
        </w:tblPrEx>
        <w:trPr>
          <w:trHeight w:val="500"/>
          <w:jc w:val="center"/>
        </w:trPr>
        <w:tc>
          <w:tcPr>
            <w:tcW w:w="9212" w:type="dxa"/>
            <w:vAlign w:val="center"/>
          </w:tcPr>
          <w:p w:rsidR="003C17A2" w:rsidRPr="003C17A2" w:rsidRDefault="003C17A2" w:rsidP="003C17A2">
            <w:pPr>
              <w:widowControl/>
              <w:suppressAutoHyphens w:val="0"/>
              <w:spacing w:after="200"/>
              <w:ind w:right="283"/>
              <w:jc w:val="center"/>
              <w:rPr>
                <w:b/>
                <w:color w:val="010000"/>
              </w:rPr>
            </w:pPr>
          </w:p>
        </w:tc>
      </w:tr>
      <w:tr w:rsidR="003C17A2" w:rsidRPr="003C17A2" w:rsidTr="003C17A2">
        <w:tblPrEx>
          <w:tblCellMar>
            <w:top w:w="0" w:type="dxa"/>
            <w:bottom w:w="0" w:type="dxa"/>
          </w:tblCellMar>
        </w:tblPrEx>
        <w:trPr>
          <w:trHeight w:val="500"/>
          <w:jc w:val="center"/>
        </w:trPr>
        <w:tc>
          <w:tcPr>
            <w:tcW w:w="9212" w:type="dxa"/>
            <w:vAlign w:val="center"/>
          </w:tcPr>
          <w:p w:rsidR="003C17A2" w:rsidRPr="003C17A2" w:rsidRDefault="003C17A2" w:rsidP="003C17A2">
            <w:pPr>
              <w:widowControl/>
              <w:suppressAutoHyphens w:val="0"/>
              <w:spacing w:after="200"/>
              <w:ind w:right="283"/>
              <w:jc w:val="center"/>
              <w:rPr>
                <w:b/>
                <w:color w:val="010000"/>
              </w:rPr>
            </w:pPr>
            <w:r>
              <w:rPr>
                <w:b/>
                <w:color w:val="010000"/>
              </w:rPr>
              <w:t>İKİNCİ BÖLÜM</w:t>
            </w:r>
          </w:p>
        </w:tc>
      </w:tr>
      <w:tr w:rsidR="003C17A2" w:rsidRPr="003C17A2" w:rsidTr="003C17A2">
        <w:tblPrEx>
          <w:tblCellMar>
            <w:top w:w="0" w:type="dxa"/>
            <w:bottom w:w="0" w:type="dxa"/>
          </w:tblCellMar>
        </w:tblPrEx>
        <w:trPr>
          <w:trHeight w:val="500"/>
          <w:jc w:val="center"/>
        </w:trPr>
        <w:tc>
          <w:tcPr>
            <w:tcW w:w="9212" w:type="dxa"/>
            <w:vAlign w:val="center"/>
          </w:tcPr>
          <w:p w:rsidR="003C17A2" w:rsidRPr="003C17A2" w:rsidRDefault="003C17A2" w:rsidP="003C17A2">
            <w:pPr>
              <w:widowControl/>
              <w:suppressAutoHyphens w:val="0"/>
              <w:spacing w:after="200"/>
              <w:ind w:right="283"/>
              <w:jc w:val="center"/>
              <w:rPr>
                <w:b/>
                <w:color w:val="010000"/>
              </w:rPr>
            </w:pPr>
          </w:p>
        </w:tc>
      </w:tr>
      <w:tr w:rsidR="003C17A2" w:rsidRPr="003C17A2" w:rsidTr="003C17A2">
        <w:tblPrEx>
          <w:tblCellMar>
            <w:top w:w="0" w:type="dxa"/>
            <w:bottom w:w="0" w:type="dxa"/>
          </w:tblCellMar>
        </w:tblPrEx>
        <w:trPr>
          <w:trHeight w:val="500"/>
          <w:jc w:val="center"/>
        </w:trPr>
        <w:tc>
          <w:tcPr>
            <w:tcW w:w="9212" w:type="dxa"/>
            <w:vAlign w:val="center"/>
          </w:tcPr>
          <w:p w:rsidR="003C17A2" w:rsidRPr="003C17A2" w:rsidRDefault="003C17A2" w:rsidP="003C17A2">
            <w:pPr>
              <w:widowControl/>
              <w:suppressAutoHyphens w:val="0"/>
              <w:spacing w:after="200"/>
              <w:ind w:right="283"/>
              <w:jc w:val="center"/>
              <w:rPr>
                <w:b/>
                <w:color w:val="010000"/>
              </w:rPr>
            </w:pPr>
            <w:r>
              <w:rPr>
                <w:b/>
                <w:color w:val="010000"/>
              </w:rPr>
              <w:t>KARAR</w:t>
            </w:r>
          </w:p>
        </w:tc>
      </w:tr>
      <w:tr w:rsidR="003C17A2" w:rsidRPr="003C17A2" w:rsidTr="003C17A2">
        <w:tblPrEx>
          <w:tblCellMar>
            <w:top w:w="0" w:type="dxa"/>
            <w:bottom w:w="0" w:type="dxa"/>
          </w:tblCellMar>
        </w:tblPrEx>
        <w:trPr>
          <w:trHeight w:val="500"/>
          <w:jc w:val="center"/>
        </w:trPr>
        <w:tc>
          <w:tcPr>
            <w:tcW w:w="9212" w:type="dxa"/>
            <w:vAlign w:val="center"/>
          </w:tcPr>
          <w:p w:rsidR="003C17A2" w:rsidRPr="003C17A2" w:rsidRDefault="003C17A2" w:rsidP="003C17A2">
            <w:pPr>
              <w:widowControl/>
              <w:suppressAutoHyphens w:val="0"/>
              <w:spacing w:after="200"/>
              <w:ind w:right="283"/>
              <w:jc w:val="center"/>
              <w:rPr>
                <w:b/>
                <w:color w:val="010000"/>
              </w:rPr>
            </w:pPr>
          </w:p>
        </w:tc>
      </w:tr>
      <w:tr w:rsidR="003C17A2" w:rsidRPr="003C17A2" w:rsidTr="003C17A2">
        <w:tblPrEx>
          <w:tblCellMar>
            <w:top w:w="0" w:type="dxa"/>
            <w:bottom w:w="0" w:type="dxa"/>
          </w:tblCellMar>
        </w:tblPrEx>
        <w:trPr>
          <w:trHeight w:val="500"/>
          <w:jc w:val="center"/>
        </w:trPr>
        <w:tc>
          <w:tcPr>
            <w:tcW w:w="9212" w:type="dxa"/>
            <w:vAlign w:val="center"/>
          </w:tcPr>
          <w:p w:rsidR="003C17A2" w:rsidRPr="003C17A2" w:rsidRDefault="003C17A2" w:rsidP="003C17A2">
            <w:pPr>
              <w:widowControl/>
              <w:suppressAutoHyphens w:val="0"/>
              <w:spacing w:after="200"/>
              <w:ind w:right="283"/>
              <w:jc w:val="center"/>
              <w:rPr>
                <w:b/>
                <w:color w:val="010000"/>
              </w:rPr>
            </w:pPr>
            <w:r>
              <w:rPr>
                <w:b/>
                <w:color w:val="010000"/>
              </w:rPr>
              <w:t>HRİSTO TALYADURO BAŞVURUSU</w:t>
            </w:r>
          </w:p>
        </w:tc>
      </w:tr>
      <w:tr w:rsidR="003C17A2" w:rsidRPr="003C17A2" w:rsidTr="003C17A2">
        <w:tblPrEx>
          <w:tblCellMar>
            <w:top w:w="0" w:type="dxa"/>
            <w:bottom w:w="0" w:type="dxa"/>
          </w:tblCellMar>
        </w:tblPrEx>
        <w:trPr>
          <w:trHeight w:val="500"/>
          <w:jc w:val="center"/>
        </w:trPr>
        <w:tc>
          <w:tcPr>
            <w:tcW w:w="9212" w:type="dxa"/>
            <w:vAlign w:val="center"/>
          </w:tcPr>
          <w:p w:rsidR="003C17A2" w:rsidRPr="003C17A2" w:rsidRDefault="003C17A2" w:rsidP="003C17A2">
            <w:pPr>
              <w:widowControl/>
              <w:suppressAutoHyphens w:val="0"/>
              <w:spacing w:after="200"/>
              <w:ind w:right="283"/>
              <w:jc w:val="center"/>
              <w:rPr>
                <w:color w:val="010000"/>
              </w:rPr>
            </w:pPr>
            <w:r>
              <w:rPr>
                <w:color w:val="010000"/>
              </w:rPr>
              <w:t>(Başvuru Numarası: 2021/35151)</w:t>
            </w:r>
          </w:p>
        </w:tc>
      </w:tr>
      <w:tr w:rsidR="003C17A2" w:rsidRPr="003C17A2" w:rsidTr="003C17A2">
        <w:tblPrEx>
          <w:tblCellMar>
            <w:top w:w="0" w:type="dxa"/>
            <w:bottom w:w="0" w:type="dxa"/>
          </w:tblCellMar>
        </w:tblPrEx>
        <w:trPr>
          <w:trHeight w:val="500"/>
          <w:jc w:val="center"/>
        </w:trPr>
        <w:tc>
          <w:tcPr>
            <w:tcW w:w="9212" w:type="dxa"/>
            <w:vAlign w:val="center"/>
          </w:tcPr>
          <w:p w:rsidR="003C17A2" w:rsidRPr="003C17A2" w:rsidRDefault="003C17A2" w:rsidP="003C17A2">
            <w:pPr>
              <w:widowControl/>
              <w:suppressAutoHyphens w:val="0"/>
              <w:spacing w:after="200"/>
              <w:ind w:right="283"/>
              <w:jc w:val="center"/>
              <w:rPr>
                <w:b/>
                <w:color w:val="010000"/>
              </w:rPr>
            </w:pPr>
          </w:p>
        </w:tc>
      </w:tr>
      <w:tr w:rsidR="003C17A2" w:rsidRPr="003C17A2" w:rsidTr="003C17A2">
        <w:tblPrEx>
          <w:tblCellMar>
            <w:top w:w="0" w:type="dxa"/>
            <w:bottom w:w="0" w:type="dxa"/>
          </w:tblCellMar>
        </w:tblPrEx>
        <w:trPr>
          <w:trHeight w:val="500"/>
          <w:jc w:val="center"/>
        </w:trPr>
        <w:tc>
          <w:tcPr>
            <w:tcW w:w="9212" w:type="dxa"/>
            <w:vAlign w:val="center"/>
          </w:tcPr>
          <w:p w:rsidR="003C17A2" w:rsidRPr="003C17A2" w:rsidRDefault="003C17A2" w:rsidP="003C17A2">
            <w:pPr>
              <w:widowControl/>
              <w:suppressAutoHyphens w:val="0"/>
              <w:spacing w:after="200"/>
              <w:ind w:right="283"/>
              <w:jc w:val="center"/>
              <w:rPr>
                <w:color w:val="010000"/>
              </w:rPr>
            </w:pPr>
            <w:r>
              <w:rPr>
                <w:color w:val="010000"/>
              </w:rPr>
              <w:t>Karar Tarihi: 15/11/2023</w:t>
            </w:r>
          </w:p>
        </w:tc>
      </w:tr>
      <w:tr w:rsidR="003C17A2" w:rsidRPr="003C17A2" w:rsidTr="003C17A2">
        <w:tblPrEx>
          <w:tblCellMar>
            <w:top w:w="0" w:type="dxa"/>
            <w:bottom w:w="0" w:type="dxa"/>
          </w:tblCellMar>
        </w:tblPrEx>
        <w:trPr>
          <w:trHeight w:val="500"/>
          <w:jc w:val="center"/>
        </w:trPr>
        <w:tc>
          <w:tcPr>
            <w:tcW w:w="9212" w:type="dxa"/>
            <w:vAlign w:val="center"/>
          </w:tcPr>
          <w:p w:rsidR="003C17A2" w:rsidRPr="003C17A2" w:rsidRDefault="003C17A2" w:rsidP="003C17A2">
            <w:pPr>
              <w:widowControl/>
              <w:suppressAutoHyphens w:val="0"/>
              <w:spacing w:after="200"/>
              <w:ind w:right="283"/>
              <w:jc w:val="center"/>
              <w:rPr>
                <w:color w:val="010000"/>
              </w:rPr>
            </w:pPr>
          </w:p>
        </w:tc>
      </w:tr>
      <w:tr w:rsidR="003C17A2" w:rsidRPr="003C17A2" w:rsidTr="003C17A2">
        <w:tblPrEx>
          <w:tblCellMar>
            <w:top w:w="0" w:type="dxa"/>
            <w:bottom w:w="0" w:type="dxa"/>
          </w:tblCellMar>
        </w:tblPrEx>
        <w:trPr>
          <w:trHeight w:val="500"/>
          <w:jc w:val="center"/>
        </w:trPr>
        <w:tc>
          <w:tcPr>
            <w:tcW w:w="9212" w:type="dxa"/>
            <w:vAlign w:val="center"/>
          </w:tcPr>
          <w:p w:rsidR="003C17A2" w:rsidRPr="003C17A2" w:rsidRDefault="003C17A2" w:rsidP="003C17A2">
            <w:pPr>
              <w:widowControl/>
              <w:suppressAutoHyphens w:val="0"/>
              <w:spacing w:after="200"/>
              <w:ind w:right="283"/>
              <w:jc w:val="center"/>
              <w:rPr>
                <w:b/>
                <w:color w:val="010000"/>
              </w:rPr>
            </w:pPr>
          </w:p>
        </w:tc>
      </w:tr>
      <w:tr w:rsidR="003C17A2" w:rsidRPr="003C17A2" w:rsidTr="003C17A2">
        <w:tblPrEx>
          <w:tblCellMar>
            <w:top w:w="0" w:type="dxa"/>
            <w:bottom w:w="0" w:type="dxa"/>
          </w:tblCellMar>
        </w:tblPrEx>
        <w:trPr>
          <w:trHeight w:val="500"/>
          <w:jc w:val="center"/>
        </w:trPr>
        <w:tc>
          <w:tcPr>
            <w:tcW w:w="9212" w:type="dxa"/>
            <w:vAlign w:val="center"/>
          </w:tcPr>
          <w:p w:rsidR="003C17A2" w:rsidRPr="003C17A2" w:rsidRDefault="003C17A2" w:rsidP="003C17A2">
            <w:pPr>
              <w:widowControl/>
              <w:suppressAutoHyphens w:val="0"/>
              <w:spacing w:after="200"/>
              <w:ind w:right="283"/>
              <w:jc w:val="center"/>
              <w:rPr>
                <w:b/>
                <w:color w:val="010000"/>
              </w:rPr>
            </w:pPr>
          </w:p>
        </w:tc>
      </w:tr>
      <w:tr w:rsidR="003C17A2" w:rsidRPr="003C17A2" w:rsidTr="003C17A2">
        <w:tblPrEx>
          <w:tblCellMar>
            <w:top w:w="0" w:type="dxa"/>
            <w:bottom w:w="0" w:type="dxa"/>
          </w:tblCellMar>
        </w:tblPrEx>
        <w:trPr>
          <w:trHeight w:val="500"/>
          <w:jc w:val="center"/>
        </w:trPr>
        <w:tc>
          <w:tcPr>
            <w:tcW w:w="9212" w:type="dxa"/>
            <w:vAlign w:val="center"/>
          </w:tcPr>
          <w:p w:rsidR="003C17A2" w:rsidRPr="003C17A2" w:rsidRDefault="003C17A2" w:rsidP="003C17A2">
            <w:pPr>
              <w:widowControl/>
              <w:suppressAutoHyphens w:val="0"/>
              <w:spacing w:after="200"/>
              <w:ind w:right="283"/>
              <w:jc w:val="center"/>
              <w:rPr>
                <w:b/>
                <w:color w:val="010000"/>
              </w:rPr>
            </w:pPr>
          </w:p>
        </w:tc>
      </w:tr>
      <w:tr w:rsidR="003C17A2" w:rsidRPr="003C17A2" w:rsidTr="003C17A2">
        <w:tblPrEx>
          <w:tblCellMar>
            <w:top w:w="0" w:type="dxa"/>
            <w:bottom w:w="0" w:type="dxa"/>
          </w:tblCellMar>
        </w:tblPrEx>
        <w:trPr>
          <w:trHeight w:val="500"/>
          <w:jc w:val="center"/>
        </w:trPr>
        <w:tc>
          <w:tcPr>
            <w:tcW w:w="9212" w:type="dxa"/>
            <w:vAlign w:val="center"/>
          </w:tcPr>
          <w:p w:rsidR="003C17A2" w:rsidRPr="003C17A2" w:rsidRDefault="003C17A2" w:rsidP="003C17A2">
            <w:pPr>
              <w:widowControl/>
              <w:suppressAutoHyphens w:val="0"/>
              <w:spacing w:after="200"/>
              <w:ind w:right="283"/>
              <w:jc w:val="center"/>
              <w:rPr>
                <w:b/>
                <w:color w:val="010000"/>
              </w:rPr>
            </w:pPr>
          </w:p>
        </w:tc>
      </w:tr>
    </w:tbl>
    <w:p w:rsidR="003C17A2" w:rsidRDefault="003C17A2" w:rsidP="003C17A2">
      <w:pPr>
        <w:widowControl/>
        <w:suppressAutoHyphens w:val="0"/>
        <w:spacing w:after="200"/>
        <w:ind w:left="283" w:right="283" w:firstLine="567"/>
        <w:jc w:val="both"/>
        <w:rPr>
          <w:b/>
          <w:color w:val="010000"/>
        </w:rPr>
        <w:sectPr w:rsidR="003C17A2" w:rsidSect="003C17A2">
          <w:headerReference w:type="default" r:id="rId6"/>
          <w:footerReference w:type="default" r:id="rId7"/>
          <w:pgSz w:w="11906" w:h="16838"/>
          <w:pgMar w:top="976" w:right="1417" w:bottom="941" w:left="1417" w:header="400" w:footer="400" w:gutter="0"/>
          <w:cols w:space="708"/>
          <w:titlePg/>
          <w:docGrid w:linePitch="326"/>
        </w:sectPr>
      </w:pPr>
    </w:p>
    <w:p w:rsidR="003C17A2" w:rsidRDefault="003C17A2" w:rsidP="003C17A2">
      <w:pPr>
        <w:widowControl/>
        <w:suppressAutoHyphens w:val="0"/>
        <w:spacing w:after="200"/>
        <w:ind w:left="283" w:right="283" w:firstLine="567"/>
        <w:jc w:val="both"/>
        <w:rPr>
          <w:b/>
          <w:color w:val="010000"/>
        </w:rPr>
      </w:pPr>
    </w:p>
    <w:p w:rsidR="00943694" w:rsidRPr="003C17A2" w:rsidRDefault="00943694" w:rsidP="003C17A2">
      <w:pPr>
        <w:widowControl/>
        <w:suppressAutoHyphens w:val="0"/>
        <w:spacing w:after="200"/>
        <w:ind w:left="283" w:right="283" w:firstLine="1"/>
        <w:jc w:val="center"/>
        <w:rPr>
          <w:color w:val="010000"/>
        </w:rPr>
      </w:pPr>
      <w:r w:rsidRPr="003C17A2">
        <w:rPr>
          <w:b/>
          <w:color w:val="010000"/>
        </w:rPr>
        <w:t>İKİNCİ BÖLÜM</w:t>
      </w:r>
    </w:p>
    <w:p w:rsidR="00943694" w:rsidRPr="003C17A2" w:rsidRDefault="00943694" w:rsidP="003C17A2">
      <w:pPr>
        <w:widowControl/>
        <w:suppressAutoHyphens w:val="0"/>
        <w:spacing w:after="200"/>
        <w:ind w:left="283" w:right="283" w:firstLine="1"/>
        <w:jc w:val="center"/>
        <w:rPr>
          <w:color w:val="010000"/>
        </w:rPr>
      </w:pPr>
      <w:r w:rsidRPr="003C17A2">
        <w:rPr>
          <w:b/>
          <w:color w:val="010000"/>
        </w:rPr>
        <w:t>KARAR</w:t>
      </w:r>
    </w:p>
    <w:p w:rsidR="003C17A2" w:rsidRDefault="003C17A2" w:rsidP="003C17A2">
      <w:pPr>
        <w:widowControl/>
        <w:suppressAutoHyphens w:val="0"/>
        <w:spacing w:after="200"/>
        <w:ind w:left="283" w:right="283" w:firstLine="567"/>
        <w:jc w:val="both"/>
        <w:rPr>
          <w:b/>
          <w:color w:val="010000"/>
          <w:lang w:eastAsia="fa-IR" w:bidi="fa-IR"/>
        </w:rPr>
      </w:pPr>
    </w:p>
    <w:tbl>
      <w:tblPr>
        <w:tblW w:w="0" w:type="auto"/>
        <w:tblInd w:w="800" w:type="dxa"/>
        <w:tblLayout w:type="fixed"/>
        <w:tblCellMar>
          <w:left w:w="70" w:type="dxa"/>
          <w:right w:w="70" w:type="dxa"/>
        </w:tblCellMar>
        <w:tblLook w:val="0000" w:firstRow="0" w:lastRow="0" w:firstColumn="0" w:lastColumn="0" w:noHBand="0" w:noVBand="0"/>
      </w:tblPr>
      <w:tblGrid>
        <w:gridCol w:w="2400"/>
        <w:gridCol w:w="200"/>
        <w:gridCol w:w="5400"/>
      </w:tblGrid>
      <w:tr w:rsidR="003C17A2" w:rsidRPr="003C17A2" w:rsidTr="003C17A2">
        <w:tblPrEx>
          <w:tblCellMar>
            <w:top w:w="0" w:type="dxa"/>
            <w:bottom w:w="0" w:type="dxa"/>
          </w:tblCellMar>
        </w:tblPrEx>
        <w:trPr>
          <w:trHeight w:val="454"/>
        </w:trPr>
        <w:tc>
          <w:tcPr>
            <w:tcW w:w="2400" w:type="dxa"/>
          </w:tcPr>
          <w:p w:rsidR="003C17A2" w:rsidRPr="003C17A2" w:rsidRDefault="003C17A2" w:rsidP="003C17A2">
            <w:pPr>
              <w:widowControl/>
              <w:suppressAutoHyphens w:val="0"/>
              <w:rPr>
                <w:b/>
                <w:color w:val="010000"/>
              </w:rPr>
            </w:pPr>
            <w:r w:rsidRPr="003C17A2">
              <w:rPr>
                <w:b/>
                <w:color w:val="010000"/>
              </w:rPr>
              <w:t>Başkan</w:t>
            </w:r>
          </w:p>
        </w:tc>
        <w:tc>
          <w:tcPr>
            <w:tcW w:w="200" w:type="dxa"/>
          </w:tcPr>
          <w:p w:rsidR="003C17A2" w:rsidRPr="003C17A2" w:rsidRDefault="003C17A2" w:rsidP="003C17A2">
            <w:pPr>
              <w:widowControl/>
              <w:suppressAutoHyphens w:val="0"/>
              <w:rPr>
                <w:b/>
                <w:color w:val="010000"/>
              </w:rPr>
            </w:pPr>
            <w:r w:rsidRPr="003C17A2">
              <w:rPr>
                <w:b/>
                <w:color w:val="010000"/>
              </w:rPr>
              <w:t>:</w:t>
            </w:r>
          </w:p>
        </w:tc>
        <w:tc>
          <w:tcPr>
            <w:tcW w:w="5400" w:type="dxa"/>
          </w:tcPr>
          <w:p w:rsidR="003C17A2" w:rsidRPr="003C17A2" w:rsidRDefault="003C17A2" w:rsidP="003C17A2">
            <w:pPr>
              <w:widowControl/>
              <w:suppressAutoHyphens w:val="0"/>
              <w:rPr>
                <w:color w:val="010000"/>
              </w:rPr>
            </w:pPr>
            <w:r w:rsidRPr="003C17A2">
              <w:rPr>
                <w:color w:val="010000"/>
              </w:rPr>
              <w:t>Kadir ÖZKAYA</w:t>
            </w:r>
          </w:p>
        </w:tc>
      </w:tr>
      <w:tr w:rsidR="003C17A2" w:rsidRPr="003C17A2" w:rsidTr="003C17A2">
        <w:tblPrEx>
          <w:tblCellMar>
            <w:top w:w="0" w:type="dxa"/>
            <w:bottom w:w="0" w:type="dxa"/>
          </w:tblCellMar>
        </w:tblPrEx>
        <w:trPr>
          <w:trHeight w:val="454"/>
        </w:trPr>
        <w:tc>
          <w:tcPr>
            <w:tcW w:w="2400" w:type="dxa"/>
          </w:tcPr>
          <w:p w:rsidR="003C17A2" w:rsidRPr="003C17A2" w:rsidRDefault="003C17A2" w:rsidP="003C17A2">
            <w:pPr>
              <w:widowControl/>
              <w:suppressAutoHyphens w:val="0"/>
              <w:rPr>
                <w:b/>
                <w:color w:val="010000"/>
              </w:rPr>
            </w:pPr>
            <w:r w:rsidRPr="003C17A2">
              <w:rPr>
                <w:b/>
                <w:color w:val="010000"/>
              </w:rPr>
              <w:t>Üyeler</w:t>
            </w:r>
          </w:p>
        </w:tc>
        <w:tc>
          <w:tcPr>
            <w:tcW w:w="200" w:type="dxa"/>
          </w:tcPr>
          <w:p w:rsidR="003C17A2" w:rsidRPr="003C17A2" w:rsidRDefault="003C17A2" w:rsidP="003C17A2">
            <w:pPr>
              <w:widowControl/>
              <w:suppressAutoHyphens w:val="0"/>
              <w:rPr>
                <w:b/>
                <w:color w:val="010000"/>
              </w:rPr>
            </w:pPr>
            <w:r w:rsidRPr="003C17A2">
              <w:rPr>
                <w:b/>
                <w:color w:val="010000"/>
              </w:rPr>
              <w:t>:</w:t>
            </w:r>
          </w:p>
        </w:tc>
        <w:tc>
          <w:tcPr>
            <w:tcW w:w="5400" w:type="dxa"/>
          </w:tcPr>
          <w:p w:rsidR="003C17A2" w:rsidRPr="003C17A2" w:rsidRDefault="003C17A2" w:rsidP="003C17A2">
            <w:pPr>
              <w:widowControl/>
              <w:suppressAutoHyphens w:val="0"/>
              <w:rPr>
                <w:color w:val="010000"/>
              </w:rPr>
            </w:pPr>
            <w:r w:rsidRPr="003C17A2">
              <w:rPr>
                <w:color w:val="010000"/>
              </w:rPr>
              <w:t>Engin YILDIRIM</w:t>
            </w:r>
          </w:p>
        </w:tc>
      </w:tr>
      <w:tr w:rsidR="003C17A2" w:rsidRPr="003C17A2" w:rsidTr="003C17A2">
        <w:tblPrEx>
          <w:tblCellMar>
            <w:top w:w="0" w:type="dxa"/>
            <w:bottom w:w="0" w:type="dxa"/>
          </w:tblCellMar>
        </w:tblPrEx>
        <w:trPr>
          <w:trHeight w:val="454"/>
        </w:trPr>
        <w:tc>
          <w:tcPr>
            <w:tcW w:w="2400" w:type="dxa"/>
          </w:tcPr>
          <w:p w:rsidR="003C17A2" w:rsidRPr="003C17A2" w:rsidRDefault="003C17A2" w:rsidP="003C17A2">
            <w:pPr>
              <w:widowControl/>
              <w:suppressAutoHyphens w:val="0"/>
              <w:rPr>
                <w:b/>
                <w:color w:val="010000"/>
              </w:rPr>
            </w:pPr>
          </w:p>
        </w:tc>
        <w:tc>
          <w:tcPr>
            <w:tcW w:w="200" w:type="dxa"/>
          </w:tcPr>
          <w:p w:rsidR="003C17A2" w:rsidRPr="003C17A2" w:rsidRDefault="003C17A2" w:rsidP="003C17A2">
            <w:pPr>
              <w:widowControl/>
              <w:suppressAutoHyphens w:val="0"/>
              <w:rPr>
                <w:b/>
                <w:color w:val="010000"/>
              </w:rPr>
            </w:pPr>
          </w:p>
        </w:tc>
        <w:tc>
          <w:tcPr>
            <w:tcW w:w="5400" w:type="dxa"/>
          </w:tcPr>
          <w:p w:rsidR="003C17A2" w:rsidRPr="003C17A2" w:rsidRDefault="003C17A2" w:rsidP="003C17A2">
            <w:pPr>
              <w:widowControl/>
              <w:suppressAutoHyphens w:val="0"/>
              <w:rPr>
                <w:color w:val="010000"/>
              </w:rPr>
            </w:pPr>
            <w:r w:rsidRPr="003C17A2">
              <w:rPr>
                <w:color w:val="010000"/>
              </w:rPr>
              <w:t>M. Emin KUZ</w:t>
            </w:r>
          </w:p>
        </w:tc>
      </w:tr>
      <w:tr w:rsidR="003C17A2" w:rsidRPr="003C17A2" w:rsidTr="003C17A2">
        <w:tblPrEx>
          <w:tblCellMar>
            <w:top w:w="0" w:type="dxa"/>
            <w:bottom w:w="0" w:type="dxa"/>
          </w:tblCellMar>
        </w:tblPrEx>
        <w:trPr>
          <w:trHeight w:val="454"/>
        </w:trPr>
        <w:tc>
          <w:tcPr>
            <w:tcW w:w="2400" w:type="dxa"/>
          </w:tcPr>
          <w:p w:rsidR="003C17A2" w:rsidRPr="003C17A2" w:rsidRDefault="003C17A2" w:rsidP="003C17A2">
            <w:pPr>
              <w:widowControl/>
              <w:suppressAutoHyphens w:val="0"/>
              <w:rPr>
                <w:b/>
                <w:color w:val="010000"/>
              </w:rPr>
            </w:pPr>
          </w:p>
        </w:tc>
        <w:tc>
          <w:tcPr>
            <w:tcW w:w="200" w:type="dxa"/>
          </w:tcPr>
          <w:p w:rsidR="003C17A2" w:rsidRPr="003C17A2" w:rsidRDefault="003C17A2" w:rsidP="003C17A2">
            <w:pPr>
              <w:widowControl/>
              <w:suppressAutoHyphens w:val="0"/>
              <w:rPr>
                <w:b/>
                <w:color w:val="010000"/>
              </w:rPr>
            </w:pPr>
          </w:p>
        </w:tc>
        <w:tc>
          <w:tcPr>
            <w:tcW w:w="5400" w:type="dxa"/>
          </w:tcPr>
          <w:p w:rsidR="003C17A2" w:rsidRPr="003C17A2" w:rsidRDefault="003C17A2" w:rsidP="003C17A2">
            <w:pPr>
              <w:widowControl/>
              <w:suppressAutoHyphens w:val="0"/>
              <w:rPr>
                <w:color w:val="010000"/>
              </w:rPr>
            </w:pPr>
            <w:r w:rsidRPr="003C17A2">
              <w:rPr>
                <w:color w:val="010000"/>
              </w:rPr>
              <w:t>Basri BAĞCI</w:t>
            </w:r>
          </w:p>
        </w:tc>
      </w:tr>
      <w:tr w:rsidR="003C17A2" w:rsidRPr="003C17A2" w:rsidTr="003C17A2">
        <w:tblPrEx>
          <w:tblCellMar>
            <w:top w:w="0" w:type="dxa"/>
            <w:bottom w:w="0" w:type="dxa"/>
          </w:tblCellMar>
        </w:tblPrEx>
        <w:trPr>
          <w:trHeight w:val="454"/>
        </w:trPr>
        <w:tc>
          <w:tcPr>
            <w:tcW w:w="2400" w:type="dxa"/>
          </w:tcPr>
          <w:p w:rsidR="003C17A2" w:rsidRPr="003C17A2" w:rsidRDefault="003C17A2" w:rsidP="003C17A2">
            <w:pPr>
              <w:widowControl/>
              <w:suppressAutoHyphens w:val="0"/>
              <w:rPr>
                <w:b/>
                <w:color w:val="010000"/>
              </w:rPr>
            </w:pPr>
          </w:p>
        </w:tc>
        <w:tc>
          <w:tcPr>
            <w:tcW w:w="200" w:type="dxa"/>
          </w:tcPr>
          <w:p w:rsidR="003C17A2" w:rsidRPr="003C17A2" w:rsidRDefault="003C17A2" w:rsidP="003C17A2">
            <w:pPr>
              <w:widowControl/>
              <w:suppressAutoHyphens w:val="0"/>
              <w:rPr>
                <w:b/>
                <w:color w:val="010000"/>
              </w:rPr>
            </w:pPr>
          </w:p>
        </w:tc>
        <w:tc>
          <w:tcPr>
            <w:tcW w:w="5400" w:type="dxa"/>
          </w:tcPr>
          <w:p w:rsidR="003C17A2" w:rsidRPr="003C17A2" w:rsidRDefault="003C17A2" w:rsidP="003C17A2">
            <w:pPr>
              <w:widowControl/>
              <w:suppressAutoHyphens w:val="0"/>
              <w:rPr>
                <w:color w:val="010000"/>
              </w:rPr>
            </w:pPr>
            <w:r w:rsidRPr="003C17A2">
              <w:rPr>
                <w:color w:val="010000"/>
              </w:rPr>
              <w:t>Kenan YAŞAR</w:t>
            </w:r>
          </w:p>
        </w:tc>
      </w:tr>
      <w:tr w:rsidR="003C17A2" w:rsidRPr="003C17A2" w:rsidTr="003C17A2">
        <w:tblPrEx>
          <w:tblCellMar>
            <w:top w:w="0" w:type="dxa"/>
            <w:bottom w:w="0" w:type="dxa"/>
          </w:tblCellMar>
        </w:tblPrEx>
        <w:trPr>
          <w:trHeight w:val="454"/>
        </w:trPr>
        <w:tc>
          <w:tcPr>
            <w:tcW w:w="2400" w:type="dxa"/>
          </w:tcPr>
          <w:p w:rsidR="003C17A2" w:rsidRPr="003C17A2" w:rsidRDefault="003C17A2" w:rsidP="003C17A2">
            <w:pPr>
              <w:widowControl/>
              <w:suppressAutoHyphens w:val="0"/>
              <w:rPr>
                <w:b/>
                <w:color w:val="010000"/>
              </w:rPr>
            </w:pPr>
            <w:r w:rsidRPr="003C17A2">
              <w:rPr>
                <w:b/>
                <w:color w:val="010000"/>
              </w:rPr>
              <w:t>Raportör</w:t>
            </w:r>
          </w:p>
        </w:tc>
        <w:tc>
          <w:tcPr>
            <w:tcW w:w="200" w:type="dxa"/>
          </w:tcPr>
          <w:p w:rsidR="003C17A2" w:rsidRPr="003C17A2" w:rsidRDefault="003C17A2" w:rsidP="003C17A2">
            <w:pPr>
              <w:widowControl/>
              <w:suppressAutoHyphens w:val="0"/>
              <w:rPr>
                <w:b/>
                <w:color w:val="010000"/>
              </w:rPr>
            </w:pPr>
            <w:r w:rsidRPr="003C17A2">
              <w:rPr>
                <w:b/>
                <w:color w:val="010000"/>
              </w:rPr>
              <w:t>:</w:t>
            </w:r>
          </w:p>
        </w:tc>
        <w:tc>
          <w:tcPr>
            <w:tcW w:w="5400" w:type="dxa"/>
          </w:tcPr>
          <w:p w:rsidR="003C17A2" w:rsidRPr="003C17A2" w:rsidRDefault="003C17A2" w:rsidP="003C17A2">
            <w:pPr>
              <w:widowControl/>
              <w:suppressAutoHyphens w:val="0"/>
              <w:rPr>
                <w:color w:val="010000"/>
              </w:rPr>
            </w:pPr>
            <w:r w:rsidRPr="003C17A2">
              <w:rPr>
                <w:color w:val="010000"/>
              </w:rPr>
              <w:t>Hüseyin Özgür SEVİMLİ</w:t>
            </w:r>
          </w:p>
        </w:tc>
      </w:tr>
      <w:tr w:rsidR="003C17A2" w:rsidRPr="003C17A2" w:rsidTr="003C17A2">
        <w:tblPrEx>
          <w:tblCellMar>
            <w:top w:w="0" w:type="dxa"/>
            <w:bottom w:w="0" w:type="dxa"/>
          </w:tblCellMar>
        </w:tblPrEx>
        <w:trPr>
          <w:trHeight w:val="454"/>
        </w:trPr>
        <w:tc>
          <w:tcPr>
            <w:tcW w:w="2400" w:type="dxa"/>
          </w:tcPr>
          <w:p w:rsidR="003C17A2" w:rsidRPr="003C17A2" w:rsidRDefault="003C17A2" w:rsidP="003C17A2">
            <w:pPr>
              <w:widowControl/>
              <w:suppressAutoHyphens w:val="0"/>
              <w:rPr>
                <w:b/>
                <w:color w:val="010000"/>
              </w:rPr>
            </w:pPr>
            <w:r w:rsidRPr="003C17A2">
              <w:rPr>
                <w:b/>
                <w:color w:val="010000"/>
              </w:rPr>
              <w:t>Başvurucu</w:t>
            </w:r>
          </w:p>
        </w:tc>
        <w:tc>
          <w:tcPr>
            <w:tcW w:w="200" w:type="dxa"/>
          </w:tcPr>
          <w:p w:rsidR="003C17A2" w:rsidRPr="003C17A2" w:rsidRDefault="003C17A2" w:rsidP="003C17A2">
            <w:pPr>
              <w:widowControl/>
              <w:suppressAutoHyphens w:val="0"/>
              <w:rPr>
                <w:b/>
                <w:color w:val="010000"/>
              </w:rPr>
            </w:pPr>
            <w:r w:rsidRPr="003C17A2">
              <w:rPr>
                <w:b/>
                <w:color w:val="010000"/>
              </w:rPr>
              <w:t>:</w:t>
            </w:r>
          </w:p>
        </w:tc>
        <w:tc>
          <w:tcPr>
            <w:tcW w:w="5400" w:type="dxa"/>
          </w:tcPr>
          <w:p w:rsidR="003C17A2" w:rsidRPr="003C17A2" w:rsidRDefault="003C17A2" w:rsidP="003C17A2">
            <w:pPr>
              <w:widowControl/>
              <w:suppressAutoHyphens w:val="0"/>
              <w:rPr>
                <w:color w:val="010000"/>
              </w:rPr>
            </w:pPr>
            <w:r w:rsidRPr="003C17A2">
              <w:rPr>
                <w:color w:val="010000"/>
              </w:rPr>
              <w:t>Hristo TALYADURO</w:t>
            </w:r>
          </w:p>
        </w:tc>
      </w:tr>
      <w:tr w:rsidR="003C17A2" w:rsidRPr="003C17A2" w:rsidTr="003C17A2">
        <w:tblPrEx>
          <w:tblCellMar>
            <w:top w:w="0" w:type="dxa"/>
            <w:bottom w:w="0" w:type="dxa"/>
          </w:tblCellMar>
        </w:tblPrEx>
        <w:trPr>
          <w:trHeight w:val="454"/>
        </w:trPr>
        <w:tc>
          <w:tcPr>
            <w:tcW w:w="2400" w:type="dxa"/>
          </w:tcPr>
          <w:p w:rsidR="003C17A2" w:rsidRPr="003C17A2" w:rsidRDefault="003C17A2" w:rsidP="003C17A2">
            <w:pPr>
              <w:widowControl/>
              <w:suppressAutoHyphens w:val="0"/>
              <w:rPr>
                <w:b/>
                <w:color w:val="010000"/>
              </w:rPr>
            </w:pPr>
            <w:r w:rsidRPr="003C17A2">
              <w:rPr>
                <w:b/>
                <w:color w:val="010000"/>
              </w:rPr>
              <w:t>Vekili</w:t>
            </w:r>
          </w:p>
        </w:tc>
        <w:tc>
          <w:tcPr>
            <w:tcW w:w="200" w:type="dxa"/>
          </w:tcPr>
          <w:p w:rsidR="003C17A2" w:rsidRPr="003C17A2" w:rsidRDefault="003C17A2" w:rsidP="003C17A2">
            <w:pPr>
              <w:widowControl/>
              <w:suppressAutoHyphens w:val="0"/>
              <w:rPr>
                <w:b/>
                <w:color w:val="010000"/>
              </w:rPr>
            </w:pPr>
            <w:r w:rsidRPr="003C17A2">
              <w:rPr>
                <w:b/>
                <w:color w:val="010000"/>
              </w:rPr>
              <w:t>:</w:t>
            </w:r>
          </w:p>
        </w:tc>
        <w:tc>
          <w:tcPr>
            <w:tcW w:w="5400" w:type="dxa"/>
          </w:tcPr>
          <w:p w:rsidR="003C17A2" w:rsidRPr="003C17A2" w:rsidRDefault="003C17A2" w:rsidP="003C17A2">
            <w:pPr>
              <w:widowControl/>
              <w:suppressAutoHyphens w:val="0"/>
              <w:rPr>
                <w:color w:val="010000"/>
              </w:rPr>
            </w:pPr>
            <w:r w:rsidRPr="003C17A2">
              <w:rPr>
                <w:color w:val="010000"/>
              </w:rPr>
              <w:t>Av. Eyüp ALGÜL</w:t>
            </w:r>
          </w:p>
        </w:tc>
      </w:tr>
    </w:tbl>
    <w:p w:rsidR="003C17A2" w:rsidRDefault="003C17A2" w:rsidP="003C17A2">
      <w:pPr>
        <w:widowControl/>
        <w:suppressAutoHyphens w:val="0"/>
        <w:spacing w:after="200"/>
        <w:ind w:left="283" w:right="283" w:firstLine="567"/>
        <w:jc w:val="both"/>
        <w:rPr>
          <w:b/>
          <w:color w:val="010000"/>
        </w:rPr>
      </w:pPr>
    </w:p>
    <w:p w:rsidR="00943694" w:rsidRPr="003C17A2" w:rsidRDefault="00943694" w:rsidP="003C17A2">
      <w:pPr>
        <w:widowControl/>
        <w:suppressAutoHyphens w:val="0"/>
        <w:spacing w:after="200"/>
        <w:ind w:left="283" w:right="283" w:firstLine="567"/>
        <w:jc w:val="both"/>
        <w:rPr>
          <w:color w:val="010000"/>
        </w:rPr>
      </w:pPr>
      <w:bookmarkStart w:id="0" w:name="_GoBack"/>
      <w:bookmarkEnd w:id="0"/>
      <w:r w:rsidRPr="003C17A2">
        <w:rPr>
          <w:b/>
          <w:color w:val="010000"/>
        </w:rPr>
        <w:t>I.</w:t>
      </w:r>
      <w:r w:rsidR="003C17A2" w:rsidRPr="003C17A2">
        <w:rPr>
          <w:color w:val="010000"/>
        </w:rPr>
        <w:t xml:space="preserve"> </w:t>
      </w:r>
      <w:r w:rsidRPr="003C17A2">
        <w:rPr>
          <w:b/>
          <w:color w:val="010000"/>
        </w:rPr>
        <w:t>BAŞVURUNUN ÖZETİ</w:t>
      </w:r>
    </w:p>
    <w:p w:rsidR="00943694" w:rsidRPr="003C17A2" w:rsidRDefault="00943694" w:rsidP="003C17A2">
      <w:pPr>
        <w:pStyle w:val="edf1450279197849"/>
        <w:widowControl/>
        <w:suppressAutoHyphens w:val="0"/>
        <w:spacing w:after="200"/>
        <w:ind w:left="283" w:right="283" w:firstLine="567"/>
        <w:jc w:val="both"/>
        <w:rPr>
          <w:rFonts w:cs="Times New Roman"/>
          <w:color w:val="010000"/>
        </w:rPr>
      </w:pPr>
      <w:r w:rsidRPr="003C17A2">
        <w:rPr>
          <w:rFonts w:cs="Times New Roman"/>
          <w:color w:val="010000"/>
        </w:rPr>
        <w:t>1.</w:t>
      </w:r>
      <w:r w:rsidR="003C17A2" w:rsidRPr="003C17A2">
        <w:rPr>
          <w:rFonts w:cs="Times New Roman"/>
          <w:color w:val="010000"/>
        </w:rPr>
        <w:t xml:space="preserve"> </w:t>
      </w:r>
      <w:r w:rsidRPr="003C17A2">
        <w:rPr>
          <w:rFonts w:cs="Times New Roman"/>
          <w:color w:val="010000"/>
        </w:rPr>
        <w:t>Başvuru, beyanları mahkûmiyet kararında belirleyici ölçüde delil olarak kullanılan tanığın duruşmada sorgulanamaması nedeniyle tanık sorgulama hakkının ihlal edildiği iddiasına ilişkindir.</w:t>
      </w:r>
      <w:r w:rsidR="003C17A2" w:rsidRPr="003C17A2">
        <w:rPr>
          <w:rFonts w:cs="Times New Roman"/>
          <w:color w:val="010000"/>
        </w:rPr>
        <w:t xml:space="preserve"> </w:t>
      </w:r>
    </w:p>
    <w:p w:rsidR="00943694" w:rsidRPr="003C17A2" w:rsidRDefault="00943694" w:rsidP="003C17A2">
      <w:pPr>
        <w:pStyle w:val="edf1450279197849"/>
        <w:widowControl/>
        <w:suppressAutoHyphens w:val="0"/>
        <w:spacing w:after="200"/>
        <w:ind w:left="283" w:right="283" w:firstLine="567"/>
        <w:jc w:val="both"/>
        <w:rPr>
          <w:rFonts w:cs="Times New Roman"/>
          <w:color w:val="010000"/>
        </w:rPr>
      </w:pPr>
      <w:r w:rsidRPr="003C17A2">
        <w:rPr>
          <w:rFonts w:cs="Times New Roman"/>
          <w:b/>
          <w:color w:val="010000"/>
        </w:rPr>
        <w:t>A.</w:t>
      </w:r>
      <w:r w:rsidR="003C17A2" w:rsidRPr="003C17A2">
        <w:rPr>
          <w:rFonts w:cs="Times New Roman"/>
          <w:color w:val="010000"/>
        </w:rPr>
        <w:t xml:space="preserve"> </w:t>
      </w:r>
      <w:r w:rsidRPr="003C17A2">
        <w:rPr>
          <w:rFonts w:cs="Times New Roman"/>
          <w:b/>
          <w:color w:val="010000"/>
        </w:rPr>
        <w:t>Bireysel Başvuru Süreci</w:t>
      </w:r>
    </w:p>
    <w:p w:rsidR="00943694" w:rsidRPr="003C17A2" w:rsidRDefault="00943694" w:rsidP="003C17A2">
      <w:pPr>
        <w:pStyle w:val="edf1450279197849"/>
        <w:widowControl/>
        <w:suppressAutoHyphens w:val="0"/>
        <w:spacing w:after="200"/>
        <w:ind w:left="283" w:right="283" w:firstLine="567"/>
        <w:jc w:val="both"/>
        <w:rPr>
          <w:rFonts w:cs="Times New Roman"/>
          <w:color w:val="010000"/>
        </w:rPr>
      </w:pPr>
      <w:r w:rsidRPr="003C17A2">
        <w:rPr>
          <w:rFonts w:cs="Times New Roman"/>
          <w:color w:val="010000"/>
        </w:rPr>
        <w:t>2.</w:t>
      </w:r>
      <w:r w:rsidR="003C17A2" w:rsidRPr="003C17A2">
        <w:rPr>
          <w:rFonts w:cs="Times New Roman"/>
          <w:color w:val="010000"/>
        </w:rPr>
        <w:t xml:space="preserve"> </w:t>
      </w:r>
      <w:r w:rsidRPr="003C17A2">
        <w:rPr>
          <w:rFonts w:cs="Times New Roman"/>
          <w:color w:val="010000"/>
        </w:rPr>
        <w:t>Başvuru formu ve eklerinde ifade edildiği şekliyle ve Ulusal Yargı Ağı Bilişim Sistemi (UYAP) aracılığıyla ulaşılan bilgi ve belgelere göre ilgili olaylar özetle şöyledir:</w:t>
      </w:r>
    </w:p>
    <w:p w:rsidR="00943694" w:rsidRPr="003C17A2" w:rsidRDefault="00943694" w:rsidP="003C17A2">
      <w:pPr>
        <w:pStyle w:val="edf1450279197849"/>
        <w:widowControl/>
        <w:suppressAutoHyphens w:val="0"/>
        <w:spacing w:after="200"/>
        <w:ind w:left="283" w:right="283" w:firstLine="567"/>
        <w:jc w:val="both"/>
        <w:rPr>
          <w:rFonts w:cs="Times New Roman"/>
          <w:color w:val="010000"/>
        </w:rPr>
      </w:pPr>
      <w:r w:rsidRPr="003C17A2">
        <w:rPr>
          <w:rFonts w:cs="Times New Roman"/>
          <w:color w:val="010000"/>
        </w:rPr>
        <w:t>3.</w:t>
      </w:r>
      <w:r w:rsidR="003C17A2" w:rsidRPr="003C17A2">
        <w:rPr>
          <w:rFonts w:cs="Times New Roman"/>
          <w:color w:val="010000"/>
        </w:rPr>
        <w:t xml:space="preserve"> </w:t>
      </w:r>
      <w:r w:rsidRPr="003C17A2">
        <w:rPr>
          <w:rFonts w:cs="Times New Roman"/>
          <w:color w:val="010000"/>
        </w:rPr>
        <w:t>Çanakkale Cumhuriyet Başsavcılığınca yürütülen soruşturma sonucunda düzenlenen 8/8/2019 tarihli iddianame ile başvurucu hakkında cinsel saldırı suçundan kamu davası açılmıştır. Çanakkale 1. Ağır Ceza Mahkemesinin (Mahkeme) 29/11/2019 tarihli kararıyla başvurucu, cinsel saldırı suçunun temel şekline nazaran daha ağır cezayı gerektiren nitelikli hali uyarınca atılı suçtan 12 yıl hapis cezasına mahkûm edilmiştir.</w:t>
      </w:r>
    </w:p>
    <w:p w:rsidR="00943694" w:rsidRPr="003C17A2" w:rsidRDefault="00943694" w:rsidP="003C17A2">
      <w:pPr>
        <w:pStyle w:val="edf1450279197849"/>
        <w:widowControl/>
        <w:suppressAutoHyphens w:val="0"/>
        <w:spacing w:after="200"/>
        <w:ind w:left="283" w:right="283" w:firstLine="567"/>
        <w:jc w:val="both"/>
        <w:rPr>
          <w:rFonts w:cs="Times New Roman"/>
          <w:color w:val="010000"/>
        </w:rPr>
      </w:pPr>
      <w:r w:rsidRPr="003C17A2">
        <w:rPr>
          <w:rFonts w:cs="Times New Roman"/>
          <w:color w:val="010000"/>
        </w:rPr>
        <w:t>4.</w:t>
      </w:r>
      <w:r w:rsidR="003C17A2" w:rsidRPr="003C17A2">
        <w:rPr>
          <w:rFonts w:cs="Times New Roman"/>
          <w:color w:val="010000"/>
        </w:rPr>
        <w:t xml:space="preserve"> </w:t>
      </w:r>
      <w:r w:rsidRPr="003C17A2">
        <w:rPr>
          <w:rFonts w:cs="Times New Roman"/>
          <w:color w:val="010000"/>
        </w:rPr>
        <w:t>Başvurucunun ve katılan Aile, Çalışma ve Sosyal Hizmetler Bakanlığının (Bakanlık) istinaf talepleri, Bursa Bölge Adliye Mahkemesi 7. Ceza Dairesince 30/6/2020 tarihinde esastan reddedilmiştir.</w:t>
      </w:r>
    </w:p>
    <w:p w:rsidR="00943694" w:rsidRPr="003C17A2" w:rsidRDefault="00943694" w:rsidP="003C17A2">
      <w:pPr>
        <w:widowControl/>
        <w:suppressAutoHyphens w:val="0"/>
        <w:spacing w:after="200"/>
        <w:ind w:left="283" w:right="283" w:firstLine="567"/>
        <w:jc w:val="both"/>
        <w:rPr>
          <w:color w:val="010000"/>
        </w:rPr>
      </w:pPr>
      <w:r w:rsidRPr="003C17A2">
        <w:rPr>
          <w:color w:val="010000"/>
        </w:rPr>
        <w:t>5.</w:t>
      </w:r>
      <w:r w:rsidR="003C17A2" w:rsidRPr="003C17A2">
        <w:rPr>
          <w:color w:val="010000"/>
        </w:rPr>
        <w:t xml:space="preserve"> </w:t>
      </w:r>
      <w:r w:rsidRPr="003C17A2">
        <w:rPr>
          <w:color w:val="010000"/>
        </w:rPr>
        <w:t xml:space="preserve">Yargıtay (Kapatılan) 14. Ceza Dairesi, temyiz edilmesi üzerine Mahkemenin 29/11/2019 tarihli mahkûmiyet hükmüne yönelik olarak verilen istinaf başvurusunun esastan reddi kararını 24/5/2021 tarihinde onamıştır. </w:t>
      </w:r>
    </w:p>
    <w:p w:rsidR="00943694" w:rsidRPr="003C17A2" w:rsidRDefault="00943694" w:rsidP="003C17A2">
      <w:pPr>
        <w:widowControl/>
        <w:suppressAutoHyphens w:val="0"/>
        <w:spacing w:after="200"/>
        <w:ind w:left="283" w:right="283" w:firstLine="567"/>
        <w:jc w:val="both"/>
        <w:rPr>
          <w:color w:val="010000"/>
        </w:rPr>
      </w:pPr>
      <w:r w:rsidRPr="003C17A2">
        <w:rPr>
          <w:color w:val="010000"/>
        </w:rPr>
        <w:t>6.</w:t>
      </w:r>
      <w:r w:rsidR="003C17A2" w:rsidRPr="003C17A2">
        <w:rPr>
          <w:color w:val="010000"/>
        </w:rPr>
        <w:t xml:space="preserve"> </w:t>
      </w:r>
      <w:r w:rsidRPr="003C17A2">
        <w:rPr>
          <w:color w:val="010000"/>
        </w:rPr>
        <w:t xml:space="preserve">Başvurucu 12/7/2021 tarihinde bireysel başvuruda bulunmuştur. </w:t>
      </w:r>
    </w:p>
    <w:p w:rsidR="00943694" w:rsidRPr="003C17A2" w:rsidRDefault="00943694" w:rsidP="003C17A2">
      <w:pPr>
        <w:pStyle w:val="edf1450279197849"/>
        <w:widowControl/>
        <w:suppressAutoHyphens w:val="0"/>
        <w:spacing w:after="200"/>
        <w:ind w:left="283" w:right="283" w:firstLine="567"/>
        <w:jc w:val="both"/>
        <w:rPr>
          <w:rFonts w:cs="Times New Roman"/>
          <w:color w:val="010000"/>
        </w:rPr>
      </w:pPr>
      <w:r w:rsidRPr="003C17A2">
        <w:rPr>
          <w:rFonts w:cs="Times New Roman"/>
          <w:color w:val="010000"/>
        </w:rPr>
        <w:t>7.</w:t>
      </w:r>
      <w:r w:rsidR="003C17A2" w:rsidRPr="003C17A2">
        <w:rPr>
          <w:rFonts w:cs="Times New Roman"/>
          <w:color w:val="010000"/>
        </w:rPr>
        <w:t xml:space="preserve"> </w:t>
      </w:r>
      <w:r w:rsidRPr="003C17A2">
        <w:rPr>
          <w:rFonts w:cs="Times New Roman"/>
          <w:color w:val="010000"/>
        </w:rPr>
        <w:t xml:space="preserve">Komisyonca adil yargılanma hakkı kapsamındaki tanık sorgulama hakkı dışındaki iddialar yönünden kabul edilemezlik kararı verilmiş, anılan şikâyetin kabul edilebilirlik incelemesinin Bölüm tarafından yapılmasına karar verilmiştir. </w:t>
      </w:r>
    </w:p>
    <w:p w:rsidR="00943694" w:rsidRPr="003C17A2" w:rsidRDefault="00943694" w:rsidP="003C17A2">
      <w:pPr>
        <w:widowControl/>
        <w:suppressAutoHyphens w:val="0"/>
        <w:spacing w:after="200"/>
        <w:ind w:left="283" w:right="283" w:firstLine="567"/>
        <w:jc w:val="both"/>
        <w:rPr>
          <w:color w:val="010000"/>
        </w:rPr>
      </w:pPr>
      <w:r w:rsidRPr="003C17A2">
        <w:rPr>
          <w:b/>
          <w:color w:val="010000"/>
        </w:rPr>
        <w:t>B.</w:t>
      </w:r>
      <w:r w:rsidR="003C17A2" w:rsidRPr="003C17A2">
        <w:rPr>
          <w:color w:val="010000"/>
        </w:rPr>
        <w:t xml:space="preserve"> </w:t>
      </w:r>
      <w:r w:rsidRPr="003C17A2">
        <w:rPr>
          <w:b/>
          <w:color w:val="010000"/>
        </w:rPr>
        <w:t>Bireysel Başvuru Sonrası Süreç</w:t>
      </w:r>
    </w:p>
    <w:p w:rsidR="00943694" w:rsidRPr="003C17A2" w:rsidRDefault="00943694" w:rsidP="003C17A2">
      <w:pPr>
        <w:widowControl/>
        <w:suppressAutoHyphens w:val="0"/>
        <w:spacing w:after="200"/>
        <w:ind w:left="283" w:right="283" w:firstLine="567"/>
        <w:jc w:val="both"/>
        <w:rPr>
          <w:color w:val="010000"/>
        </w:rPr>
      </w:pPr>
      <w:r w:rsidRPr="003C17A2">
        <w:rPr>
          <w:color w:val="010000"/>
        </w:rPr>
        <w:lastRenderedPageBreak/>
        <w:t>8.</w:t>
      </w:r>
      <w:r w:rsidR="003C17A2" w:rsidRPr="003C17A2">
        <w:rPr>
          <w:color w:val="010000"/>
        </w:rPr>
        <w:t xml:space="preserve"> </w:t>
      </w:r>
      <w:r w:rsidRPr="003C17A2">
        <w:rPr>
          <w:color w:val="010000"/>
        </w:rPr>
        <w:t xml:space="preserve">Yargıtay Cumhuriyet Başsavcılığı 2/12/2021 tarihli ve 2021/108107 sayılı yazı ile başvurucu yönünden Yargıtay (Kapatılan) 14. Ceza Dairesince verilen onama kararına karşı suç vasfına ilişkin lehe itiraz kanun yoluna müracaat etmiştir. 4/12/2004 tarihli ve 5271 sayılı Ceza Muhakemesi Kanunu’nun 308. maddesi uyarınca inceleme yapan (dosyanın devredildiği) Yargıtay 9. Ceza Dairesi, itirazı yerinde görmeyerek dosyayı Yargıtay Ceza Genel Kuruluna (Kurul) göndermiştir. Kurul ise itirazı yerinde görerek 22/12/2022 tarihinde onama kararının kaldırılmasına ve mahkûmiyet hükmünün bozulmasına karar vermiştir. </w:t>
      </w:r>
    </w:p>
    <w:p w:rsidR="00943694" w:rsidRPr="003C17A2" w:rsidRDefault="00943694" w:rsidP="003C17A2">
      <w:pPr>
        <w:widowControl/>
        <w:suppressAutoHyphens w:val="0"/>
        <w:spacing w:after="200"/>
        <w:ind w:left="283" w:right="283" w:firstLine="567"/>
        <w:jc w:val="both"/>
        <w:rPr>
          <w:color w:val="010000"/>
        </w:rPr>
      </w:pPr>
      <w:r w:rsidRPr="003C17A2">
        <w:rPr>
          <w:color w:val="010000"/>
        </w:rPr>
        <w:t>9.</w:t>
      </w:r>
      <w:r w:rsidR="003C17A2" w:rsidRPr="003C17A2">
        <w:rPr>
          <w:color w:val="010000"/>
        </w:rPr>
        <w:t xml:space="preserve"> </w:t>
      </w:r>
      <w:r w:rsidRPr="003C17A2">
        <w:rPr>
          <w:color w:val="010000"/>
        </w:rPr>
        <w:t>Bozma üzerine yapılan yargılama sonucunda Mahkeme 7/6/2023 tarihinde, Kurulun bozma kararı doğrultusunda başvurucunun cinsel saldırı suçunun temel şeklini işlediğini değerlendirerek bu suçtan başvurucuyu 5 yıl hapis cezasına mahkûm etmiştir. Anılan hüküm başvurucu ve Bakanlık tarafından temyiz edilmiş olup bireysel başvurunun incelendiği tarih itibarıyla dava derdesttir.</w:t>
      </w:r>
    </w:p>
    <w:p w:rsidR="00943694" w:rsidRPr="003C17A2" w:rsidRDefault="00943694" w:rsidP="003C17A2">
      <w:pPr>
        <w:widowControl/>
        <w:suppressAutoHyphens w:val="0"/>
        <w:spacing w:after="200"/>
        <w:ind w:left="283" w:right="283" w:firstLine="567"/>
        <w:jc w:val="both"/>
        <w:rPr>
          <w:color w:val="010000"/>
        </w:rPr>
      </w:pPr>
      <w:r w:rsidRPr="003C17A2">
        <w:rPr>
          <w:b/>
          <w:color w:val="010000"/>
        </w:rPr>
        <w:t>II.</w:t>
      </w:r>
      <w:r w:rsidR="003C17A2" w:rsidRPr="003C17A2">
        <w:rPr>
          <w:color w:val="010000"/>
        </w:rPr>
        <w:t xml:space="preserve"> </w:t>
      </w:r>
      <w:r w:rsidRPr="003C17A2">
        <w:rPr>
          <w:b/>
          <w:color w:val="010000"/>
        </w:rPr>
        <w:t>DEĞERLENDİRME</w:t>
      </w:r>
    </w:p>
    <w:p w:rsidR="00943694" w:rsidRPr="003C17A2" w:rsidRDefault="00943694" w:rsidP="003C17A2">
      <w:pPr>
        <w:widowControl/>
        <w:suppressAutoHyphens w:val="0"/>
        <w:spacing w:after="200"/>
        <w:ind w:left="283" w:right="283" w:firstLine="567"/>
        <w:jc w:val="both"/>
        <w:rPr>
          <w:color w:val="010000"/>
        </w:rPr>
      </w:pPr>
      <w:r w:rsidRPr="003C17A2">
        <w:rPr>
          <w:color w:val="010000"/>
        </w:rPr>
        <w:t>10.</w:t>
      </w:r>
      <w:r w:rsidR="003C17A2" w:rsidRPr="003C17A2">
        <w:rPr>
          <w:color w:val="010000"/>
        </w:rPr>
        <w:t xml:space="preserve"> </w:t>
      </w:r>
      <w:r w:rsidRPr="003C17A2">
        <w:rPr>
          <w:color w:val="010000"/>
        </w:rPr>
        <w:t xml:space="preserve">Başvurucu, yargılandığı davada hakkındaki mahkûmiyet kararının aleyhinde beyanda bulunan tanık </w:t>
      </w:r>
      <w:proofErr w:type="spellStart"/>
      <w:r w:rsidRPr="003C17A2">
        <w:rPr>
          <w:color w:val="010000"/>
        </w:rPr>
        <w:t>C.G.nin</w:t>
      </w:r>
      <w:proofErr w:type="spellEnd"/>
      <w:r w:rsidRPr="003C17A2">
        <w:rPr>
          <w:color w:val="010000"/>
        </w:rPr>
        <w:t xml:space="preserve"> istinabe yoluyla alınan ifadesine dayandığını ve bu şahsın duruşmada dinlenmemesi nedeniyle tanık sorgulama hakkının ihlal edildiğini ileri sürmüştür.</w:t>
      </w:r>
    </w:p>
    <w:p w:rsidR="00943694" w:rsidRPr="003C17A2" w:rsidRDefault="00943694" w:rsidP="003C17A2">
      <w:pPr>
        <w:widowControl/>
        <w:suppressAutoHyphens w:val="0"/>
        <w:spacing w:after="200"/>
        <w:ind w:left="283" w:right="283" w:firstLine="567"/>
        <w:jc w:val="both"/>
        <w:rPr>
          <w:color w:val="010000"/>
        </w:rPr>
      </w:pPr>
      <w:r w:rsidRPr="003C17A2">
        <w:rPr>
          <w:color w:val="010000"/>
        </w:rPr>
        <w:t>11.</w:t>
      </w:r>
      <w:r w:rsidR="003C17A2" w:rsidRPr="003C17A2">
        <w:rPr>
          <w:color w:val="010000"/>
        </w:rPr>
        <w:t xml:space="preserve"> </w:t>
      </w:r>
      <w:r w:rsidRPr="003C17A2">
        <w:rPr>
          <w:color w:val="010000"/>
        </w:rPr>
        <w:t xml:space="preserve">Bakanlık görüşünde, başvurucunun tanık </w:t>
      </w:r>
      <w:proofErr w:type="spellStart"/>
      <w:r w:rsidRPr="003C17A2">
        <w:rPr>
          <w:color w:val="010000"/>
        </w:rPr>
        <w:t>C.G.nin</w:t>
      </w:r>
      <w:proofErr w:type="spellEnd"/>
      <w:r w:rsidRPr="003C17A2">
        <w:rPr>
          <w:color w:val="010000"/>
        </w:rPr>
        <w:t xml:space="preserve"> mahkeme huzuruna getirtilmesi hususunda Mahkemeden talepte bulunmadığı ve istinaf talebinde de bu yönde itiraz ileri sürmediği, dolayısıyla tanık sorgulama hakkı açısından başvuru yollarının usulüne uygun olarak tüketilmediği belirtilmiştir. Bakanlık ayrıca, anılan tanığın beyanının mahkûmiyet hükmü açısından tek ve belirleyici delil olmadığını da vurgulamıştır. </w:t>
      </w:r>
    </w:p>
    <w:p w:rsidR="00943694" w:rsidRPr="003C17A2" w:rsidRDefault="00943694" w:rsidP="003C17A2">
      <w:pPr>
        <w:widowControl/>
        <w:suppressAutoHyphens w:val="0"/>
        <w:spacing w:after="200"/>
        <w:ind w:left="283" w:right="283" w:firstLine="567"/>
        <w:jc w:val="both"/>
        <w:rPr>
          <w:color w:val="010000"/>
        </w:rPr>
      </w:pPr>
      <w:r w:rsidRPr="003C17A2">
        <w:rPr>
          <w:color w:val="010000"/>
        </w:rPr>
        <w:t>12.</w:t>
      </w:r>
      <w:r w:rsidR="003C17A2" w:rsidRPr="003C17A2">
        <w:rPr>
          <w:color w:val="010000"/>
        </w:rPr>
        <w:t xml:space="preserve"> </w:t>
      </w:r>
      <w:r w:rsidRPr="003C17A2">
        <w:rPr>
          <w:color w:val="010000"/>
        </w:rPr>
        <w:t xml:space="preserve">Başvurucu, Bakanlık görüşüne karşı beyanında Yargıtay Cumhuriyet Başsavcılığının onama kararına karşı itiraz kanun yoluna müracaat ettiğini ve dosyanın Kurulda derdest olduğunu belirtmiştir. Diğer yandan başvurucu, tanık </w:t>
      </w:r>
      <w:proofErr w:type="spellStart"/>
      <w:r w:rsidRPr="003C17A2">
        <w:rPr>
          <w:color w:val="010000"/>
        </w:rPr>
        <w:t>C.G.nin</w:t>
      </w:r>
      <w:proofErr w:type="spellEnd"/>
      <w:r w:rsidRPr="003C17A2">
        <w:rPr>
          <w:color w:val="010000"/>
        </w:rPr>
        <w:t xml:space="preserve"> beyanının mahkûmiyet kararında tek ve belirleyici delil olduğunu da ileri sürmüştür. </w:t>
      </w:r>
    </w:p>
    <w:p w:rsidR="00943694" w:rsidRPr="003C17A2" w:rsidRDefault="00943694" w:rsidP="003C17A2">
      <w:pPr>
        <w:widowControl/>
        <w:suppressAutoHyphens w:val="0"/>
        <w:spacing w:after="200"/>
        <w:ind w:left="283" w:right="283" w:firstLine="567"/>
        <w:jc w:val="both"/>
        <w:rPr>
          <w:color w:val="010000"/>
        </w:rPr>
      </w:pPr>
      <w:r w:rsidRPr="003C17A2">
        <w:rPr>
          <w:color w:val="010000"/>
        </w:rPr>
        <w:t>13.</w:t>
      </w:r>
      <w:r w:rsidR="003C17A2" w:rsidRPr="003C17A2">
        <w:rPr>
          <w:color w:val="010000"/>
        </w:rPr>
        <w:t xml:space="preserve"> </w:t>
      </w:r>
      <w:r w:rsidRPr="003C17A2">
        <w:rPr>
          <w:color w:val="010000"/>
        </w:rPr>
        <w:t>Bireysel başvuru yolunun ikincil niteliği gereği Anayasa Mahkemesine başvuruda bulunabilmek için öncelikle olağan kanun yollarının tüketilmesi zorunludur (</w:t>
      </w:r>
      <w:r w:rsidRPr="003C17A2">
        <w:rPr>
          <w:i/>
          <w:iCs/>
          <w:color w:val="010000"/>
        </w:rPr>
        <w:t>İsmail Buğra İşlek</w:t>
      </w:r>
      <w:r w:rsidRPr="003C17A2">
        <w:rPr>
          <w:color w:val="010000"/>
        </w:rPr>
        <w:t>, B. No: 2013/1177, 26/3/2013, § 17).</w:t>
      </w:r>
    </w:p>
    <w:p w:rsidR="00943694" w:rsidRPr="003C17A2" w:rsidRDefault="00943694" w:rsidP="003C17A2">
      <w:pPr>
        <w:widowControl/>
        <w:suppressAutoHyphens w:val="0"/>
        <w:spacing w:after="200"/>
        <w:ind w:left="283" w:right="283" w:firstLine="567"/>
        <w:jc w:val="both"/>
        <w:rPr>
          <w:color w:val="010000"/>
        </w:rPr>
      </w:pPr>
      <w:r w:rsidRPr="003C17A2">
        <w:rPr>
          <w:color w:val="010000"/>
        </w:rPr>
        <w:t>14.</w:t>
      </w:r>
      <w:r w:rsidR="003C17A2" w:rsidRPr="003C17A2">
        <w:rPr>
          <w:color w:val="010000"/>
        </w:rPr>
        <w:t xml:space="preserve"> </w:t>
      </w:r>
      <w:r w:rsidRPr="003C17A2">
        <w:rPr>
          <w:color w:val="010000"/>
        </w:rPr>
        <w:t xml:space="preserve">Temyiz incelemesinden geçen kararlara karşı </w:t>
      </w:r>
      <w:r w:rsidRPr="003C17A2">
        <w:rPr>
          <w:i/>
          <w:iCs/>
          <w:color w:val="010000"/>
        </w:rPr>
        <w:t>Yargıtay Cumhuriyet başsavcısının itiraz yetkisi</w:t>
      </w:r>
      <w:r w:rsidRPr="003C17A2">
        <w:rPr>
          <w:color w:val="010000"/>
        </w:rPr>
        <w:t>nin bir olağanüstü kanun yolu olarak düzenlendiği açıktır. Ancak Yargıtay Cumhuriyet Başsavcısınca bu yetki kullanılmış ise ilgili ceza dairesince veya Kurulca kararın kaldırılabilme ihtimali de görmezden gelinemez. Olağanüstü bir kanun yolu olan Yargıtay Cumhuriyet Başsavcısının itiraz yetkisini kullanmasının geldiği aşama dikkate alındığında bu yolun somut olayın özel koşullarında etkili olarak değerlendirilmesi gerektiği açıktır. Bu durumda aynı dava sürecinin farklı düzlemlerde hem Anayasa Mahkemesince hem de Yargıtay Dairesince veya Kurul tarafından yargısal incelemeye tabi tutulması, Anayasa Mahkemesinin bireysel başvurudaki ikincil nitelikteki rolüne uygun olmayacağından başvurucunun adil yargılanma hakkının ihlal edildiği yönündeki iddialarının öncelikle derece mahkemelerince incelenmesi gerekmektedir (benzer yöndeki karar için bkz.</w:t>
      </w:r>
      <w:r w:rsidRPr="003C17A2">
        <w:rPr>
          <w:i/>
          <w:iCs/>
          <w:color w:val="010000"/>
        </w:rPr>
        <w:t xml:space="preserve"> Fuat Karaosmanoğlu,</w:t>
      </w:r>
      <w:r w:rsidRPr="003C17A2">
        <w:rPr>
          <w:color w:val="010000"/>
        </w:rPr>
        <w:t xml:space="preserve"> B. No: 2013/9044, 5/11/2014, § 46).</w:t>
      </w:r>
    </w:p>
    <w:p w:rsidR="00943694" w:rsidRPr="003C17A2" w:rsidRDefault="00943694" w:rsidP="003C17A2">
      <w:pPr>
        <w:widowControl/>
        <w:suppressAutoHyphens w:val="0"/>
        <w:spacing w:after="200"/>
        <w:ind w:left="283" w:right="283" w:firstLine="567"/>
        <w:jc w:val="both"/>
        <w:rPr>
          <w:color w:val="010000"/>
        </w:rPr>
      </w:pPr>
      <w:r w:rsidRPr="003C17A2">
        <w:rPr>
          <w:color w:val="010000"/>
        </w:rPr>
        <w:t>15.</w:t>
      </w:r>
      <w:r w:rsidR="003C17A2" w:rsidRPr="003C17A2">
        <w:rPr>
          <w:color w:val="010000"/>
        </w:rPr>
        <w:t xml:space="preserve"> </w:t>
      </w:r>
      <w:r w:rsidRPr="003C17A2">
        <w:rPr>
          <w:color w:val="010000"/>
        </w:rPr>
        <w:t xml:space="preserve">Somut olayda, başvurucu hakkında verilmiş olan karar temyiz incelemesi sonucunda Yargıtay (Kapatılan) 14. Ceza Dairesinin 24/5/2021 tarihli kararı ile onanarak kesinleşmiştir. Bireysel başvuru sonrasında Yargıtay Cumhuriyet Başsavcılığı, </w:t>
      </w:r>
      <w:r w:rsidRPr="003C17A2">
        <w:rPr>
          <w:color w:val="010000"/>
        </w:rPr>
        <w:lastRenderedPageBreak/>
        <w:t>başvurucu yönünden anılan onama kararına karşı lehe itiraz kanun yoluna 2/12/2021 tarihinde müracaat etmiştir. Kurul itirazı yerinde görerek başvurucu hakkındaki mahkûmiyet hükmünü bozmuştur. Bozma üzerine yapılan yargılama sonucunda Mahkeme başvurucu hakkında yeniden hüküm kurmuş ve bu hükmün temyiz edilmesi üzerine dosya hâlen derdest durumdadır. Bu durumda, bireysel başvuru sonrası süreç itibarıyla etkili hâle gelen olağan kanun yolunu tüketilmeksizin bireysel başvuruda bulunulduğu anlaşılmaktadır.</w:t>
      </w:r>
    </w:p>
    <w:p w:rsidR="00943694" w:rsidRPr="003C17A2" w:rsidRDefault="00943694" w:rsidP="003C17A2">
      <w:pPr>
        <w:widowControl/>
        <w:suppressAutoHyphens w:val="0"/>
        <w:spacing w:after="200"/>
        <w:ind w:left="283" w:right="283" w:firstLine="567"/>
        <w:jc w:val="both"/>
        <w:rPr>
          <w:color w:val="010000"/>
        </w:rPr>
      </w:pPr>
      <w:r w:rsidRPr="003C17A2">
        <w:rPr>
          <w:color w:val="010000"/>
        </w:rPr>
        <w:t>16.</w:t>
      </w:r>
      <w:r w:rsidR="003C17A2" w:rsidRPr="003C17A2">
        <w:rPr>
          <w:color w:val="010000"/>
        </w:rPr>
        <w:t xml:space="preserve"> </w:t>
      </w:r>
      <w:r w:rsidRPr="003C17A2">
        <w:rPr>
          <w:color w:val="010000"/>
        </w:rPr>
        <w:t xml:space="preserve">Açıklanan gerekçelerle başvurunun </w:t>
      </w:r>
      <w:r w:rsidRPr="003C17A2">
        <w:rPr>
          <w:i/>
          <w:iCs/>
          <w:color w:val="010000"/>
        </w:rPr>
        <w:t>başvuru yollarının tüketilmemesi</w:t>
      </w:r>
      <w:r w:rsidRPr="003C17A2">
        <w:rPr>
          <w:color w:val="010000"/>
        </w:rPr>
        <w:t xml:space="preserve"> nedeniyle kabul edilemez olduğuna karar verilmesi gerekir.</w:t>
      </w:r>
    </w:p>
    <w:p w:rsidR="00943694" w:rsidRPr="003C17A2" w:rsidRDefault="00943694" w:rsidP="003C17A2">
      <w:pPr>
        <w:pStyle w:val="edf1450279197849"/>
        <w:widowControl/>
        <w:suppressAutoHyphens w:val="0"/>
        <w:spacing w:after="200"/>
        <w:ind w:left="283" w:right="283" w:firstLine="567"/>
        <w:jc w:val="both"/>
        <w:rPr>
          <w:rFonts w:cs="Times New Roman"/>
          <w:color w:val="010000"/>
        </w:rPr>
      </w:pPr>
      <w:r w:rsidRPr="003C17A2">
        <w:rPr>
          <w:rFonts w:cs="Times New Roman"/>
          <w:b/>
          <w:color w:val="010000"/>
        </w:rPr>
        <w:t>III.</w:t>
      </w:r>
      <w:r w:rsidR="003C17A2" w:rsidRPr="003C17A2">
        <w:rPr>
          <w:rFonts w:cs="Times New Roman"/>
          <w:color w:val="010000"/>
        </w:rPr>
        <w:t xml:space="preserve"> </w:t>
      </w:r>
      <w:r w:rsidRPr="003C17A2">
        <w:rPr>
          <w:rFonts w:cs="Times New Roman"/>
          <w:b/>
          <w:color w:val="010000"/>
        </w:rPr>
        <w:t>HÜKÜM</w:t>
      </w:r>
    </w:p>
    <w:p w:rsidR="00943694" w:rsidRPr="003C17A2" w:rsidRDefault="00943694" w:rsidP="003C17A2">
      <w:pPr>
        <w:widowControl/>
        <w:suppressAutoHyphens w:val="0"/>
        <w:spacing w:after="200"/>
        <w:ind w:left="283" w:right="283" w:firstLine="567"/>
        <w:jc w:val="both"/>
        <w:rPr>
          <w:color w:val="010000"/>
        </w:rPr>
      </w:pPr>
      <w:r w:rsidRPr="003C17A2">
        <w:rPr>
          <w:color w:val="010000"/>
        </w:rPr>
        <w:t>Açıklanan gerekçelerle;</w:t>
      </w:r>
    </w:p>
    <w:p w:rsidR="00943694" w:rsidRPr="003C17A2" w:rsidRDefault="00943694" w:rsidP="003C17A2">
      <w:pPr>
        <w:pStyle w:val="edf1449753501090"/>
        <w:widowControl/>
        <w:suppressAutoHyphens w:val="0"/>
        <w:spacing w:after="200"/>
        <w:ind w:left="283" w:right="283" w:firstLine="567"/>
        <w:jc w:val="both"/>
        <w:rPr>
          <w:rFonts w:cs="Times New Roman"/>
          <w:color w:val="010000"/>
        </w:rPr>
      </w:pPr>
      <w:r w:rsidRPr="003C17A2">
        <w:rPr>
          <w:rFonts w:cs="Times New Roman"/>
          <w:color w:val="010000"/>
        </w:rPr>
        <w:t>A.</w:t>
      </w:r>
      <w:r w:rsidR="003C17A2" w:rsidRPr="003C17A2">
        <w:rPr>
          <w:rFonts w:cs="Times New Roman"/>
          <w:color w:val="010000"/>
        </w:rPr>
        <w:t xml:space="preserve"> </w:t>
      </w:r>
      <w:r w:rsidRPr="003C17A2">
        <w:rPr>
          <w:rFonts w:cs="Times New Roman"/>
          <w:color w:val="010000"/>
        </w:rPr>
        <w:t xml:space="preserve">Başvurunun </w:t>
      </w:r>
      <w:r w:rsidRPr="003C17A2">
        <w:rPr>
          <w:rFonts w:cs="Times New Roman"/>
          <w:i/>
          <w:iCs/>
          <w:color w:val="010000"/>
        </w:rPr>
        <w:t>başvuru yollarının tüketilmemesi</w:t>
      </w:r>
      <w:r w:rsidRPr="003C17A2">
        <w:rPr>
          <w:rFonts w:cs="Times New Roman"/>
          <w:color w:val="010000"/>
        </w:rPr>
        <w:t xml:space="preserve"> nedeniyle KABUL EDİLEMEZ OLDUĞUNA, </w:t>
      </w:r>
    </w:p>
    <w:p w:rsidR="00943694" w:rsidRPr="003C17A2" w:rsidRDefault="00943694" w:rsidP="003C17A2">
      <w:pPr>
        <w:pStyle w:val="edf1449753501090"/>
        <w:widowControl/>
        <w:suppressAutoHyphens w:val="0"/>
        <w:spacing w:after="200"/>
        <w:ind w:left="283" w:right="283" w:firstLine="567"/>
        <w:jc w:val="both"/>
        <w:rPr>
          <w:rFonts w:cs="Times New Roman"/>
          <w:color w:val="010000"/>
        </w:rPr>
      </w:pPr>
      <w:r w:rsidRPr="003C17A2">
        <w:rPr>
          <w:rFonts w:cs="Times New Roman"/>
          <w:color w:val="010000"/>
        </w:rPr>
        <w:t>B.</w:t>
      </w:r>
      <w:r w:rsidR="003C17A2" w:rsidRPr="003C17A2">
        <w:rPr>
          <w:rFonts w:cs="Times New Roman"/>
          <w:color w:val="010000"/>
        </w:rPr>
        <w:t xml:space="preserve"> </w:t>
      </w:r>
      <w:r w:rsidRPr="003C17A2">
        <w:rPr>
          <w:rFonts w:cs="Times New Roman"/>
          <w:color w:val="010000"/>
        </w:rPr>
        <w:t>Yargılama giderlerinin başvurucu üzerinde BIRAKILMASINA 15/11/2023 tarihinde OYBİRLİĞİYLE karar verildi.</w:t>
      </w:r>
    </w:p>
    <w:sectPr w:rsidR="00943694" w:rsidRPr="003C17A2" w:rsidSect="003C17A2">
      <w:pgSz w:w="11906" w:h="16838"/>
      <w:pgMar w:top="976" w:right="1417" w:bottom="941" w:left="1417" w:header="400" w:footer="400" w:gutter="0"/>
      <w:cols w:space="708"/>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943694" w:rsidRDefault="00943694">
      <w:r>
        <w:separator/>
      </w:r>
    </w:p>
  </w:endnote>
  <w:endnote w:type="continuationSeparator" w:id="0">
    <w:p w:rsidR="00943694" w:rsidRDefault="0094369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A2"/>
    <w:family w:val="roman"/>
    <w:pitch w:val="variable"/>
    <w:sig w:usb0="E0002EFF" w:usb1="C000785B" w:usb2="00000009" w:usb3="00000000" w:csb0="000001FF" w:csb1="00000000"/>
  </w:font>
  <w:font w:name="Andale Sans UI">
    <w:altName w:val="Calibri"/>
    <w:charset w:val="A2"/>
    <w:family w:val="auto"/>
    <w:pitch w:val="variable"/>
  </w:font>
  <w:font w:name="Arial">
    <w:panose1 w:val="020B0604020202020204"/>
    <w:charset w:val="A2"/>
    <w:family w:val="swiss"/>
    <w:pitch w:val="variable"/>
    <w:sig w:usb0="E0002EFF" w:usb1="C000785B" w:usb2="00000009" w:usb3="00000000" w:csb0="000001FF" w:csb1="00000000"/>
  </w:font>
  <w:font w:name="MS PGothic">
    <w:panose1 w:val="020B0600070205080204"/>
    <w:charset w:val="80"/>
    <w:family w:val="swiss"/>
    <w:pitch w:val="variable"/>
    <w:sig w:usb0="E00002FF" w:usb1="6AC7FDFB" w:usb2="08000012" w:usb3="00000000" w:csb0="0002009F" w:csb1="00000000"/>
  </w:font>
  <w:font w:name="Tahoma">
    <w:panose1 w:val="020B0604030504040204"/>
    <w:charset w:val="A2"/>
    <w:family w:val="swiss"/>
    <w:pitch w:val="variable"/>
    <w:sig w:usb0="E1002EFF" w:usb1="C000605B" w:usb2="00000029" w:usb3="00000000" w:csb0="000101FF" w:csb1="00000000"/>
  </w:font>
  <w:font w:name="Dialog">
    <w:charset w:val="A2"/>
    <w:family w:val="auto"/>
    <w:pitch w:val="default"/>
  </w:font>
  <w:font w:name="Calibri Light">
    <w:panose1 w:val="020F0302020204030204"/>
    <w:charset w:val="A2"/>
    <w:family w:val="swiss"/>
    <w:pitch w:val="variable"/>
    <w:sig w:usb0="E4002EFF" w:usb1="C000247B" w:usb2="00000009" w:usb3="00000000" w:csb0="000001FF" w:csb1="00000000"/>
  </w:font>
  <w:font w:name="Calibri">
    <w:panose1 w:val="020F05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43694" w:rsidRDefault="00943694">
    <w:pPr>
      <w:pStyle w:val="AltBilgi"/>
      <w:jc w:val="right"/>
    </w:pPr>
    <w:r>
      <w:rPr>
        <w:color w:val="000000"/>
        <w:sz w:val="22"/>
      </w:rPr>
      <w:fldChar w:fldCharType="begin"/>
    </w:r>
    <w:r>
      <w:rPr>
        <w:color w:val="000000"/>
        <w:sz w:val="22"/>
      </w:rPr>
      <w:instrText xml:space="preserve"> PAGE </w:instrText>
    </w:r>
    <w:r>
      <w:rPr>
        <w:color w:val="000000"/>
        <w:sz w:val="22"/>
      </w:rPr>
      <w:fldChar w:fldCharType="separate"/>
    </w:r>
    <w:r>
      <w:rPr>
        <w:color w:val="000000"/>
        <w:sz w:val="22"/>
      </w:rPr>
      <w:t>4</w:t>
    </w:r>
    <w:r>
      <w:rPr>
        <w:color w:val="000000"/>
        <w:sz w:val="22"/>
      </w:rPr>
      <w:fldChar w:fldCharType="end"/>
    </w:r>
  </w:p>
  <w:p w:rsidR="00943694" w:rsidRDefault="00943694">
    <w:pPr>
      <w:pStyle w:val="AltBilgi"/>
      <w:spacing w:line="288" w:lineRule="exac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943694" w:rsidRDefault="00943694">
      <w:r>
        <w:separator/>
      </w:r>
    </w:p>
  </w:footnote>
  <w:footnote w:type="continuationSeparator" w:id="0">
    <w:p w:rsidR="00943694" w:rsidRDefault="0094369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43694" w:rsidRDefault="00943694">
    <w:pPr>
      <w:pStyle w:val="stBilgi"/>
      <w:tabs>
        <w:tab w:val="left" w:pos="2020"/>
      </w:tabs>
      <w:spacing w:line="288" w:lineRule="exact"/>
    </w:pPr>
    <w:r>
      <w:t>Başvuru Numarası</w:t>
    </w:r>
    <w:r>
      <w:tab/>
      <w:t>: 2021/35151</w:t>
    </w:r>
  </w:p>
  <w:p w:rsidR="00943694" w:rsidRDefault="00943694" w:rsidP="003C17A2">
    <w:pPr>
      <w:pStyle w:val="stBilgi"/>
      <w:tabs>
        <w:tab w:val="left" w:pos="2020"/>
      </w:tabs>
      <w:spacing w:line="288" w:lineRule="exact"/>
    </w:pPr>
    <w:r>
      <w:t>Karar Tarihi</w:t>
    </w:r>
    <w:r>
      <w:tab/>
      <w:t xml:space="preserve">: 15/11/2023 </w:t>
    </w:r>
  </w:p>
  <w:p w:rsidR="003C17A2" w:rsidRDefault="003C17A2" w:rsidP="003C17A2">
    <w:pPr>
      <w:pStyle w:val="stBilgi"/>
      <w:tabs>
        <w:tab w:val="left" w:pos="2020"/>
      </w:tabs>
      <w:spacing w:line="288" w:lineRule="exact"/>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50"/>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oNotTrackMoves/>
  <w:defaultTabStop w:val="1440"/>
  <w:hyphenationZone w:val="425"/>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footnotePr>
    <w:footnote w:id="-1"/>
    <w:footnote w:id="0"/>
  </w:footnotePr>
  <w:endnotePr>
    <w:endnote w:id="-1"/>
    <w:endnote w:id="0"/>
  </w:endnotePr>
  <w:compat>
    <w:spaceForUL/>
    <w:balanceSingleByteDoubleByteWidth/>
    <w:doNotLeaveBackslashAlone/>
    <w:ulTrailSpace/>
    <w:adjustLineHeightInTable/>
    <w:doNotUseHTMLParagraphAutoSpacing/>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104D84"/>
    <w:rsid w:val="00104D84"/>
    <w:rsid w:val="003C17A2"/>
    <w:rsid w:val="00943694"/>
    <w:rsid w:val="00F51BE9"/>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14:docId w14:val="27223237"/>
  <w15:chartTrackingRefBased/>
  <w15:docId w15:val="{DF8B00BA-3EA4-4F04-BF8B-88A76A71441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tr-TR" w:eastAsia="tr-TR"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widowControl w:val="0"/>
      <w:suppressAutoHyphens/>
    </w:pPr>
    <w:rPr>
      <w:rFonts w:eastAsia="Andale Sans UI"/>
      <w:kern w:val="1"/>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stbalk">
    <w:name w:val="Üst başlık"/>
    <w:basedOn w:val="Normal"/>
    <w:next w:val="GvdeMetni"/>
    <w:pPr>
      <w:keepNext/>
      <w:spacing w:before="240" w:after="120"/>
    </w:pPr>
    <w:rPr>
      <w:rFonts w:ascii="Arial" w:eastAsia="MS PGothic" w:hAnsi="Arial" w:cs="Tahoma"/>
      <w:sz w:val="28"/>
      <w:szCs w:val="28"/>
    </w:rPr>
  </w:style>
  <w:style w:type="paragraph" w:styleId="GvdeMetni">
    <w:name w:val="Body Text"/>
    <w:basedOn w:val="Normal"/>
    <w:pPr>
      <w:spacing w:after="120"/>
    </w:pPr>
  </w:style>
  <w:style w:type="paragraph" w:styleId="KonuBal">
    <w:name w:val="Title"/>
    <w:basedOn w:val="Normal"/>
    <w:qFormat/>
    <w:pPr>
      <w:suppressLineNumbers/>
      <w:spacing w:before="120" w:after="120"/>
    </w:pPr>
    <w:rPr>
      <w:rFonts w:cs="Tahoma"/>
      <w:i/>
      <w:iCs/>
    </w:rPr>
  </w:style>
  <w:style w:type="paragraph" w:styleId="Altyaz">
    <w:name w:val="Subtitle"/>
    <w:basedOn w:val="KonuBal"/>
    <w:next w:val="GvdeMetni"/>
    <w:qFormat/>
    <w:pPr>
      <w:jc w:val="center"/>
    </w:pPr>
    <w:rPr>
      <w:sz w:val="28"/>
      <w:szCs w:val="28"/>
    </w:rPr>
  </w:style>
  <w:style w:type="paragraph" w:styleId="Liste">
    <w:name w:val="List"/>
    <w:basedOn w:val="GvdeMetni"/>
    <w:rPr>
      <w:rFonts w:cs="Tahoma"/>
    </w:rPr>
  </w:style>
  <w:style w:type="paragraph" w:customStyle="1" w:styleId="Dizin">
    <w:name w:val="Dizin"/>
    <w:basedOn w:val="Normal"/>
    <w:pPr>
      <w:suppressLineNumbers/>
    </w:pPr>
    <w:rPr>
      <w:rFonts w:cs="Tahoma"/>
    </w:rPr>
  </w:style>
  <w:style w:type="paragraph" w:customStyle="1" w:styleId="edf1393440552765">
    <w:name w:val="edf_1393440552765"/>
    <w:pPr>
      <w:widowControl w:val="0"/>
      <w:suppressAutoHyphens/>
    </w:pPr>
    <w:rPr>
      <w:rFonts w:eastAsia="Andale Sans UI" w:cs="Tahoma"/>
      <w:kern w:val="1"/>
      <w:sz w:val="24"/>
      <w:szCs w:val="24"/>
      <w:lang w:eastAsia="fa-IR" w:bidi="fa-IR"/>
    </w:rPr>
  </w:style>
  <w:style w:type="paragraph" w:customStyle="1" w:styleId="edf1440527729181">
    <w:name w:val="edf_1440527729181"/>
    <w:pPr>
      <w:widowControl w:val="0"/>
      <w:suppressAutoHyphens/>
    </w:pPr>
    <w:rPr>
      <w:rFonts w:eastAsia="Andale Sans UI" w:cs="Tahoma"/>
      <w:kern w:val="1"/>
      <w:sz w:val="24"/>
      <w:szCs w:val="24"/>
      <w:lang w:eastAsia="fa-IR" w:bidi="fa-IR"/>
    </w:rPr>
  </w:style>
  <w:style w:type="paragraph" w:customStyle="1" w:styleId="edf1449753501087">
    <w:name w:val="edf_1449753501087"/>
    <w:pPr>
      <w:widowControl w:val="0"/>
      <w:suppressAutoHyphens/>
    </w:pPr>
    <w:rPr>
      <w:rFonts w:eastAsia="Andale Sans UI" w:cs="Tahoma"/>
      <w:kern w:val="1"/>
      <w:sz w:val="24"/>
      <w:szCs w:val="24"/>
      <w:lang w:eastAsia="fa-IR" w:bidi="fa-IR"/>
    </w:rPr>
  </w:style>
  <w:style w:type="paragraph" w:customStyle="1" w:styleId="edf1415784089731">
    <w:name w:val="edf_1415784089731"/>
    <w:pPr>
      <w:widowControl w:val="0"/>
      <w:suppressAutoHyphens/>
    </w:pPr>
    <w:rPr>
      <w:rFonts w:eastAsia="Andale Sans UI" w:cs="Tahoma"/>
      <w:kern w:val="1"/>
      <w:sz w:val="24"/>
      <w:szCs w:val="24"/>
      <w:lang w:eastAsia="fa-IR" w:bidi="fa-IR"/>
    </w:rPr>
  </w:style>
  <w:style w:type="paragraph" w:customStyle="1" w:styleId="edf1449753501090">
    <w:name w:val="edf_1449753501090"/>
    <w:pPr>
      <w:widowControl w:val="0"/>
      <w:suppressAutoHyphens/>
    </w:pPr>
    <w:rPr>
      <w:rFonts w:eastAsia="Andale Sans UI" w:cs="Tahoma"/>
      <w:kern w:val="1"/>
      <w:sz w:val="24"/>
      <w:szCs w:val="24"/>
      <w:lang w:eastAsia="fa-IR" w:bidi="fa-IR"/>
    </w:rPr>
  </w:style>
  <w:style w:type="paragraph" w:customStyle="1" w:styleId="edf1393440766750">
    <w:name w:val="edf_1393440766750"/>
    <w:pPr>
      <w:widowControl w:val="0"/>
      <w:suppressAutoHyphens/>
    </w:pPr>
    <w:rPr>
      <w:rFonts w:eastAsia="Andale Sans UI" w:cs="Tahoma"/>
      <w:kern w:val="1"/>
      <w:sz w:val="24"/>
      <w:szCs w:val="24"/>
      <w:lang w:eastAsia="fa-IR" w:bidi="fa-IR"/>
    </w:rPr>
  </w:style>
  <w:style w:type="paragraph" w:customStyle="1" w:styleId="edf1440526925920">
    <w:name w:val="edf_1440526925920"/>
    <w:pPr>
      <w:widowControl w:val="0"/>
      <w:suppressAutoHyphens/>
    </w:pPr>
    <w:rPr>
      <w:rFonts w:eastAsia="Andale Sans UI" w:cs="Tahoma"/>
      <w:kern w:val="1"/>
      <w:sz w:val="24"/>
      <w:szCs w:val="24"/>
      <w:lang w:eastAsia="fa-IR" w:bidi="fa-IR"/>
    </w:rPr>
  </w:style>
  <w:style w:type="paragraph" w:customStyle="1" w:styleId="edf1419594272479">
    <w:name w:val="edf_1419594272479"/>
    <w:pPr>
      <w:widowControl w:val="0"/>
      <w:suppressAutoHyphens/>
    </w:pPr>
    <w:rPr>
      <w:rFonts w:eastAsia="Andale Sans UI" w:cs="Tahoma"/>
      <w:kern w:val="1"/>
      <w:sz w:val="24"/>
      <w:szCs w:val="24"/>
      <w:lang w:eastAsia="fa-IR" w:bidi="fa-IR"/>
    </w:rPr>
  </w:style>
  <w:style w:type="paragraph" w:customStyle="1" w:styleId="edf1393440831590">
    <w:name w:val="edf_1393440831590"/>
    <w:pPr>
      <w:widowControl w:val="0"/>
      <w:suppressAutoHyphens/>
    </w:pPr>
    <w:rPr>
      <w:rFonts w:eastAsia="Andale Sans UI" w:cs="Tahoma"/>
      <w:kern w:val="1"/>
      <w:sz w:val="24"/>
      <w:szCs w:val="24"/>
      <w:lang w:eastAsia="fa-IR" w:bidi="fa-IR"/>
    </w:rPr>
  </w:style>
  <w:style w:type="paragraph" w:customStyle="1" w:styleId="edf1450279197849">
    <w:name w:val="edf_1450279197849"/>
    <w:pPr>
      <w:widowControl w:val="0"/>
      <w:suppressAutoHyphens/>
    </w:pPr>
    <w:rPr>
      <w:rFonts w:eastAsia="Andale Sans UI" w:cs="Tahoma"/>
      <w:kern w:val="1"/>
      <w:sz w:val="24"/>
      <w:szCs w:val="24"/>
      <w:lang w:eastAsia="fa-IR" w:bidi="fa-IR"/>
    </w:rPr>
  </w:style>
  <w:style w:type="paragraph" w:customStyle="1" w:styleId="default">
    <w:name w:val="default"/>
    <w:pPr>
      <w:widowControl w:val="0"/>
      <w:suppressAutoHyphens/>
    </w:pPr>
    <w:rPr>
      <w:rFonts w:ascii="Dialog" w:eastAsia="Andale Sans UI" w:hAnsi="Dialog" w:cs="Tahoma"/>
      <w:color w:val="333333"/>
      <w:kern w:val="1"/>
      <w:sz w:val="24"/>
      <w:szCs w:val="24"/>
      <w:lang w:eastAsia="fa-IR" w:bidi="fa-IR"/>
    </w:rPr>
  </w:style>
  <w:style w:type="paragraph" w:customStyle="1" w:styleId="edf1450279197847">
    <w:name w:val="edf_1450279197847"/>
    <w:pPr>
      <w:widowControl w:val="0"/>
      <w:suppressAutoHyphens/>
    </w:pPr>
    <w:rPr>
      <w:rFonts w:eastAsia="Andale Sans UI" w:cs="Tahoma"/>
      <w:kern w:val="1"/>
      <w:sz w:val="24"/>
      <w:szCs w:val="24"/>
      <w:lang w:eastAsia="fa-IR" w:bidi="fa-IR"/>
    </w:rPr>
  </w:style>
  <w:style w:type="paragraph" w:customStyle="1" w:styleId="edf1407482342885">
    <w:name w:val="edf_1407482342885"/>
    <w:pPr>
      <w:widowControl w:val="0"/>
      <w:suppressAutoHyphens/>
    </w:pPr>
    <w:rPr>
      <w:rFonts w:eastAsia="Andale Sans UI" w:cs="Tahoma"/>
      <w:kern w:val="1"/>
      <w:sz w:val="24"/>
      <w:szCs w:val="24"/>
      <w:lang w:eastAsia="fa-IR" w:bidi="fa-IR"/>
    </w:rPr>
  </w:style>
  <w:style w:type="paragraph" w:customStyle="1" w:styleId="edf1451982709474">
    <w:name w:val="edf_1451982709474"/>
    <w:pPr>
      <w:widowControl w:val="0"/>
      <w:suppressAutoHyphens/>
    </w:pPr>
    <w:rPr>
      <w:rFonts w:eastAsia="Andale Sans UI" w:cs="Tahoma"/>
      <w:kern w:val="1"/>
      <w:sz w:val="24"/>
      <w:szCs w:val="24"/>
      <w:lang w:eastAsia="fa-IR" w:bidi="fa-IR"/>
    </w:rPr>
  </w:style>
  <w:style w:type="paragraph" w:customStyle="1" w:styleId="hvl-default">
    <w:name w:val="hvl-default"/>
    <w:pPr>
      <w:widowControl w:val="0"/>
      <w:suppressAutoHyphens/>
    </w:pPr>
    <w:rPr>
      <w:rFonts w:eastAsia="Andale Sans UI" w:cs="Tahoma"/>
      <w:kern w:val="1"/>
      <w:sz w:val="24"/>
      <w:szCs w:val="24"/>
      <w:lang w:eastAsia="fa-IR" w:bidi="fa-IR"/>
    </w:rPr>
  </w:style>
  <w:style w:type="paragraph" w:customStyle="1" w:styleId="edf1419597503565">
    <w:name w:val="edf_1419597503565"/>
    <w:pPr>
      <w:widowControl w:val="0"/>
      <w:suppressAutoHyphens/>
    </w:pPr>
    <w:rPr>
      <w:rFonts w:eastAsia="Andale Sans UI" w:cs="Tahoma"/>
      <w:kern w:val="1"/>
      <w:sz w:val="24"/>
      <w:szCs w:val="24"/>
      <w:lang w:eastAsia="fa-IR" w:bidi="fa-IR"/>
    </w:rPr>
  </w:style>
  <w:style w:type="paragraph" w:customStyle="1" w:styleId="edf1450342109195">
    <w:name w:val="edf_1450342109195"/>
    <w:pPr>
      <w:widowControl w:val="0"/>
      <w:suppressAutoHyphens/>
    </w:pPr>
    <w:rPr>
      <w:rFonts w:eastAsia="Andale Sans UI" w:cs="Tahoma"/>
      <w:kern w:val="1"/>
      <w:sz w:val="24"/>
      <w:szCs w:val="24"/>
      <w:lang w:eastAsia="fa-IR" w:bidi="fa-IR"/>
    </w:rPr>
  </w:style>
  <w:style w:type="paragraph" w:customStyle="1" w:styleId="edf1397563312747">
    <w:name w:val="edf_1397563312747"/>
    <w:pPr>
      <w:widowControl w:val="0"/>
      <w:suppressAutoHyphens/>
    </w:pPr>
    <w:rPr>
      <w:rFonts w:eastAsia="Andale Sans UI" w:cs="Tahoma"/>
      <w:kern w:val="1"/>
      <w:sz w:val="24"/>
      <w:szCs w:val="24"/>
      <w:lang w:eastAsia="fa-IR" w:bidi="fa-IR"/>
    </w:rPr>
  </w:style>
  <w:style w:type="paragraph" w:styleId="stBilgi">
    <w:name w:val="header"/>
    <w:pPr>
      <w:widowControl w:val="0"/>
      <w:suppressAutoHyphens/>
    </w:pPr>
    <w:rPr>
      <w:rFonts w:eastAsia="Andale Sans UI" w:cs="Tahoma"/>
      <w:kern w:val="1"/>
      <w:sz w:val="24"/>
      <w:szCs w:val="24"/>
      <w:lang w:eastAsia="fa-IR" w:bidi="fa-IR"/>
    </w:rPr>
  </w:style>
  <w:style w:type="paragraph" w:styleId="AltBilgi">
    <w:name w:val="footer"/>
    <w:pPr>
      <w:widowControl w:val="0"/>
      <w:suppressAutoHyphens/>
    </w:pPr>
    <w:rPr>
      <w:rFonts w:eastAsia="Andale Sans UI" w:cs="Tahoma"/>
      <w:kern w:val="1"/>
      <w:sz w:val="24"/>
      <w:szCs w:val="24"/>
      <w:lang w:eastAsia="fa-IR" w:bidi="fa-I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4</Pages>
  <Words>936</Words>
  <Characters>5340</Characters>
  <Application>Microsoft Office Word</Application>
  <DocSecurity>0</DocSecurity>
  <Lines>44</Lines>
  <Paragraphs>12</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6264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Ali KAVUN</dc:creator>
  <cp:keywords/>
  <cp:lastModifiedBy>Sibel YÖNDEM</cp:lastModifiedBy>
  <cp:revision>3</cp:revision>
  <cp:lastPrinted>1899-12-31T21:00:00Z</cp:lastPrinted>
  <dcterms:created xsi:type="dcterms:W3CDTF">2024-01-15T13:29:00Z</dcterms:created>
  <dcterms:modified xsi:type="dcterms:W3CDTF">2024-01-17T06:26:00Z</dcterms:modified>
</cp:coreProperties>
</file>