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5741D4" w:rsidRDefault="005741D4" w:rsidP="005741D4">
      <w:pPr>
        <w:widowControl/>
        <w:suppressAutoHyphens w:val="0"/>
        <w:spacing w:after="200"/>
        <w:ind w:left="283" w:right="283" w:firstLine="567"/>
        <w:jc w:val="both"/>
        <w:rPr>
          <w:b/>
          <w:color w:val="010000"/>
          <w:sz w:val="28"/>
        </w:rPr>
      </w:pPr>
    </w:p>
    <w:p w:rsidR="005741D4" w:rsidRDefault="005741D4" w:rsidP="005741D4">
      <w:pPr>
        <w:widowControl/>
        <w:suppressAutoHyphens w:val="0"/>
        <w:spacing w:after="200"/>
        <w:ind w:left="283" w:right="283" w:firstLine="567"/>
        <w:jc w:val="both"/>
        <w:rPr>
          <w:b/>
          <w:color w:val="010000"/>
          <w:sz w:val="28"/>
        </w:rPr>
      </w:pPr>
    </w:p>
    <w:p w:rsidR="005741D4" w:rsidRDefault="005741D4" w:rsidP="005741D4">
      <w:pPr>
        <w:widowControl/>
        <w:suppressAutoHyphens w:val="0"/>
        <w:spacing w:after="200"/>
        <w:ind w:left="283" w:right="283" w:firstLine="567"/>
        <w:jc w:val="both"/>
        <w:rPr>
          <w:b/>
          <w:color w:val="010000"/>
          <w:sz w:val="28"/>
        </w:rPr>
      </w:pPr>
    </w:p>
    <w:p w:rsidR="005741D4" w:rsidRDefault="005741D4" w:rsidP="005741D4">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sz w:val="28"/>
              </w:rPr>
            </w:pPr>
            <w:r>
              <w:rPr>
                <w:b/>
                <w:color w:val="010000"/>
                <w:sz w:val="28"/>
              </w:rPr>
              <w:t>TÜRKİYE CUMHURİYETİ</w:t>
            </w: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sz w:val="32"/>
              </w:rPr>
            </w:pPr>
            <w:r>
              <w:rPr>
                <w:b/>
                <w:color w:val="010000"/>
                <w:sz w:val="32"/>
              </w:rPr>
              <w:t>ANAYASA MAHKEMESİ</w:t>
            </w: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r>
              <w:rPr>
                <w:b/>
                <w:color w:val="010000"/>
              </w:rPr>
              <w:t>BİRİNCİ BÖLÜM</w:t>
            </w: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r>
              <w:rPr>
                <w:b/>
                <w:color w:val="010000"/>
              </w:rPr>
              <w:t>KARAR</w:t>
            </w: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r>
              <w:rPr>
                <w:b/>
                <w:color w:val="010000"/>
              </w:rPr>
              <w:t>YUSUF OK BAŞVURUSU</w:t>
            </w: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color w:val="010000"/>
              </w:rPr>
            </w:pPr>
            <w:r>
              <w:rPr>
                <w:color w:val="010000"/>
              </w:rPr>
              <w:t>(Başvuru Numarası: 2021/37021)</w:t>
            </w: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color w:val="010000"/>
              </w:rPr>
            </w:pPr>
            <w:r>
              <w:rPr>
                <w:color w:val="010000"/>
              </w:rPr>
              <w:t>Karar Tarihi: 23/10/2024</w:t>
            </w: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r w:rsidR="005741D4" w:rsidRPr="005741D4" w:rsidTr="005741D4">
        <w:tblPrEx>
          <w:tblCellMar>
            <w:top w:w="0" w:type="dxa"/>
            <w:bottom w:w="0" w:type="dxa"/>
          </w:tblCellMar>
        </w:tblPrEx>
        <w:trPr>
          <w:trHeight w:val="500"/>
          <w:jc w:val="center"/>
        </w:trPr>
        <w:tc>
          <w:tcPr>
            <w:tcW w:w="9072" w:type="dxa"/>
            <w:vAlign w:val="center"/>
          </w:tcPr>
          <w:p w:rsidR="005741D4" w:rsidRPr="005741D4" w:rsidRDefault="005741D4" w:rsidP="005741D4">
            <w:pPr>
              <w:widowControl/>
              <w:suppressAutoHyphens w:val="0"/>
              <w:spacing w:after="200"/>
              <w:ind w:right="283"/>
              <w:jc w:val="center"/>
              <w:rPr>
                <w:b/>
                <w:color w:val="010000"/>
              </w:rPr>
            </w:pPr>
          </w:p>
        </w:tc>
      </w:tr>
    </w:tbl>
    <w:p w:rsidR="005741D4" w:rsidRDefault="005741D4" w:rsidP="005741D4">
      <w:pPr>
        <w:widowControl/>
        <w:suppressAutoHyphens w:val="0"/>
        <w:spacing w:after="200"/>
        <w:ind w:left="283" w:right="283" w:firstLine="567"/>
        <w:jc w:val="both"/>
        <w:rPr>
          <w:b/>
          <w:color w:val="010000"/>
        </w:rPr>
        <w:sectPr w:rsidR="005741D4" w:rsidSect="005741D4">
          <w:headerReference w:type="default" r:id="rId6"/>
          <w:pgSz w:w="11906" w:h="16838"/>
          <w:pgMar w:top="976" w:right="1417" w:bottom="1400" w:left="1417" w:header="400" w:footer="708" w:gutter="0"/>
          <w:cols w:space="708"/>
          <w:titlePg/>
          <w:docGrid w:linePitch="326"/>
        </w:sectPr>
      </w:pPr>
    </w:p>
    <w:p w:rsidR="005741D4" w:rsidRDefault="005741D4" w:rsidP="005741D4">
      <w:pPr>
        <w:widowControl/>
        <w:suppressAutoHyphens w:val="0"/>
        <w:spacing w:after="200"/>
        <w:ind w:left="283" w:right="283" w:firstLine="567"/>
        <w:jc w:val="both"/>
        <w:rPr>
          <w:b/>
          <w:color w:val="010000"/>
        </w:rPr>
      </w:pPr>
    </w:p>
    <w:p w:rsidR="00E27D79" w:rsidRPr="005741D4" w:rsidRDefault="0020194F" w:rsidP="005741D4">
      <w:pPr>
        <w:widowControl/>
        <w:suppressAutoHyphens w:val="0"/>
        <w:spacing w:after="200"/>
        <w:ind w:left="283" w:right="283" w:firstLine="1"/>
        <w:jc w:val="center"/>
        <w:rPr>
          <w:color w:val="010000"/>
        </w:rPr>
      </w:pPr>
      <w:r w:rsidRPr="005741D4">
        <w:rPr>
          <w:b/>
          <w:color w:val="010000"/>
        </w:rPr>
        <w:t>BİRİNCİ BÖLÜM</w:t>
      </w:r>
    </w:p>
    <w:p w:rsidR="00E27D79" w:rsidRPr="005741D4" w:rsidRDefault="0020194F" w:rsidP="005741D4">
      <w:pPr>
        <w:widowControl/>
        <w:suppressAutoHyphens w:val="0"/>
        <w:spacing w:after="200"/>
        <w:ind w:left="283" w:right="283" w:firstLine="1"/>
        <w:jc w:val="center"/>
        <w:rPr>
          <w:color w:val="010000"/>
        </w:rPr>
      </w:pPr>
      <w:r w:rsidRPr="005741D4">
        <w:rPr>
          <w:b/>
          <w:color w:val="010000"/>
        </w:rPr>
        <w:t>KARAR</w:t>
      </w:r>
    </w:p>
    <w:p w:rsidR="005741D4" w:rsidRDefault="005741D4" w:rsidP="005741D4">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Başkan</w:t>
            </w:r>
          </w:p>
        </w:tc>
        <w:tc>
          <w:tcPr>
            <w:tcW w:w="2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w:t>
            </w: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Hasan Tahsin GÖKCAN</w:t>
            </w:r>
          </w:p>
        </w:tc>
      </w:tr>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Üyeler</w:t>
            </w:r>
          </w:p>
        </w:tc>
        <w:tc>
          <w:tcPr>
            <w:tcW w:w="2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w:t>
            </w: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Yusuf Şevki HAKYEMEZ</w:t>
            </w:r>
          </w:p>
        </w:tc>
      </w:tr>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p>
        </w:tc>
        <w:tc>
          <w:tcPr>
            <w:tcW w:w="200" w:type="dxa"/>
          </w:tcPr>
          <w:p w:rsidR="005741D4" w:rsidRPr="005741D4" w:rsidRDefault="005741D4" w:rsidP="005741D4">
            <w:pPr>
              <w:pStyle w:val="edf1393440552765"/>
              <w:widowControl/>
              <w:suppressAutoHyphens w:val="0"/>
              <w:rPr>
                <w:rFonts w:cs="Times New Roman"/>
                <w:b/>
                <w:color w:val="010000"/>
              </w:rPr>
            </w:pP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Selahaddin MENTEŞ</w:t>
            </w:r>
          </w:p>
        </w:tc>
      </w:tr>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p>
        </w:tc>
        <w:tc>
          <w:tcPr>
            <w:tcW w:w="200" w:type="dxa"/>
          </w:tcPr>
          <w:p w:rsidR="005741D4" w:rsidRPr="005741D4" w:rsidRDefault="005741D4" w:rsidP="005741D4">
            <w:pPr>
              <w:pStyle w:val="edf1393440552765"/>
              <w:widowControl/>
              <w:suppressAutoHyphens w:val="0"/>
              <w:rPr>
                <w:rFonts w:cs="Times New Roman"/>
                <w:b/>
                <w:color w:val="010000"/>
              </w:rPr>
            </w:pP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İrfan FİDAN</w:t>
            </w:r>
          </w:p>
        </w:tc>
      </w:tr>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p>
        </w:tc>
        <w:tc>
          <w:tcPr>
            <w:tcW w:w="200" w:type="dxa"/>
          </w:tcPr>
          <w:p w:rsidR="005741D4" w:rsidRPr="005741D4" w:rsidRDefault="005741D4" w:rsidP="005741D4">
            <w:pPr>
              <w:pStyle w:val="edf1393440552765"/>
              <w:widowControl/>
              <w:suppressAutoHyphens w:val="0"/>
              <w:rPr>
                <w:rFonts w:cs="Times New Roman"/>
                <w:b/>
                <w:color w:val="010000"/>
              </w:rPr>
            </w:pP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Yılmaz AKÇİL</w:t>
            </w:r>
          </w:p>
        </w:tc>
      </w:tr>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Raportör</w:t>
            </w:r>
          </w:p>
        </w:tc>
        <w:tc>
          <w:tcPr>
            <w:tcW w:w="2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w:t>
            </w: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Yusuf Enes KAYA</w:t>
            </w:r>
          </w:p>
        </w:tc>
      </w:tr>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Başvurucu</w:t>
            </w:r>
          </w:p>
        </w:tc>
        <w:tc>
          <w:tcPr>
            <w:tcW w:w="2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w:t>
            </w: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Yusuf OK</w:t>
            </w:r>
          </w:p>
        </w:tc>
      </w:tr>
      <w:tr w:rsidR="005741D4" w:rsidRPr="005741D4" w:rsidTr="005741D4">
        <w:tblPrEx>
          <w:tblCellMar>
            <w:top w:w="0" w:type="dxa"/>
            <w:bottom w:w="0" w:type="dxa"/>
          </w:tblCellMar>
        </w:tblPrEx>
        <w:trPr>
          <w:trHeight w:val="454"/>
        </w:trPr>
        <w:tc>
          <w:tcPr>
            <w:tcW w:w="24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Vekili</w:t>
            </w:r>
          </w:p>
        </w:tc>
        <w:tc>
          <w:tcPr>
            <w:tcW w:w="200" w:type="dxa"/>
          </w:tcPr>
          <w:p w:rsidR="005741D4" w:rsidRPr="005741D4" w:rsidRDefault="005741D4" w:rsidP="005741D4">
            <w:pPr>
              <w:pStyle w:val="edf1393440552765"/>
              <w:widowControl/>
              <w:suppressAutoHyphens w:val="0"/>
              <w:rPr>
                <w:rFonts w:cs="Times New Roman"/>
                <w:b/>
                <w:color w:val="010000"/>
              </w:rPr>
            </w:pPr>
            <w:r w:rsidRPr="005741D4">
              <w:rPr>
                <w:rFonts w:cs="Times New Roman"/>
                <w:b/>
                <w:color w:val="010000"/>
              </w:rPr>
              <w:t>:</w:t>
            </w:r>
          </w:p>
        </w:tc>
        <w:tc>
          <w:tcPr>
            <w:tcW w:w="5400" w:type="dxa"/>
          </w:tcPr>
          <w:p w:rsidR="005741D4" w:rsidRPr="005741D4" w:rsidRDefault="005741D4" w:rsidP="005741D4">
            <w:pPr>
              <w:pStyle w:val="edf1393440552765"/>
              <w:widowControl/>
              <w:suppressAutoHyphens w:val="0"/>
              <w:rPr>
                <w:rFonts w:cs="Times New Roman"/>
                <w:color w:val="010000"/>
              </w:rPr>
            </w:pPr>
            <w:r w:rsidRPr="005741D4">
              <w:rPr>
                <w:rFonts w:cs="Times New Roman"/>
                <w:color w:val="010000"/>
              </w:rPr>
              <w:t>Av. Ömer SANSARKAN</w:t>
            </w:r>
          </w:p>
        </w:tc>
      </w:tr>
    </w:tbl>
    <w:p w:rsidR="005741D4" w:rsidRDefault="005741D4" w:rsidP="005741D4">
      <w:pPr>
        <w:pStyle w:val="edf1393440552765"/>
        <w:widowControl/>
        <w:suppressAutoHyphens w:val="0"/>
        <w:spacing w:after="200"/>
        <w:ind w:left="283" w:right="283" w:firstLine="567"/>
        <w:jc w:val="both"/>
        <w:rPr>
          <w:rFonts w:cs="Times New Roman"/>
          <w:b/>
          <w:color w:val="010000"/>
        </w:rPr>
      </w:pPr>
    </w:p>
    <w:p w:rsidR="00E27D79" w:rsidRPr="005741D4" w:rsidRDefault="0020194F" w:rsidP="005741D4">
      <w:pPr>
        <w:pStyle w:val="edf1393440552765"/>
        <w:widowControl/>
        <w:suppressAutoHyphens w:val="0"/>
        <w:spacing w:after="200"/>
        <w:ind w:left="283" w:right="283" w:firstLine="567"/>
        <w:jc w:val="both"/>
        <w:rPr>
          <w:rFonts w:cs="Times New Roman"/>
          <w:color w:val="010000"/>
        </w:rPr>
      </w:pPr>
      <w:r w:rsidRPr="005741D4">
        <w:rPr>
          <w:rFonts w:cs="Times New Roman"/>
          <w:b/>
          <w:color w:val="010000"/>
        </w:rPr>
        <w:t>I.</w:t>
      </w:r>
      <w:r w:rsidR="005741D4" w:rsidRPr="005741D4">
        <w:rPr>
          <w:rFonts w:cs="Times New Roman"/>
          <w:color w:val="010000"/>
        </w:rPr>
        <w:t xml:space="preserve"> </w:t>
      </w:r>
      <w:r w:rsidRPr="005741D4">
        <w:rPr>
          <w:rFonts w:cs="Times New Roman"/>
          <w:b/>
          <w:color w:val="010000"/>
        </w:rPr>
        <w:t>BAŞVURUNUN ÖZETİ</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1.</w:t>
      </w:r>
      <w:r w:rsidR="005741D4" w:rsidRPr="005741D4">
        <w:rPr>
          <w:rFonts w:cs="Times New Roman"/>
          <w:color w:val="010000"/>
        </w:rPr>
        <w:t xml:space="preserve"> </w:t>
      </w:r>
      <w:r w:rsidRPr="005741D4">
        <w:rPr>
          <w:rFonts w:cs="Times New Roman"/>
          <w:color w:val="010000"/>
        </w:rPr>
        <w:t>Başvuru, kanunda kabahat olarak sayılmayan bir fiilden dolayı idari para cezası uygulanması nedeniyle suçta ve cezada kanunilik ilkesinin; lehe vekalet ücretine hükmedilmemesi nedeniyle de mülkiyet hakkının ihlal edildiği iddialarına ilişkindir.</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2.</w:t>
      </w:r>
      <w:r w:rsidR="005741D4" w:rsidRPr="005741D4">
        <w:rPr>
          <w:rFonts w:cs="Times New Roman"/>
          <w:color w:val="010000"/>
        </w:rPr>
        <w:t xml:space="preserve"> </w:t>
      </w:r>
      <w:r w:rsidRPr="005741D4">
        <w:rPr>
          <w:rFonts w:cs="Times New Roman"/>
          <w:color w:val="010000"/>
        </w:rPr>
        <w:t>Covid-19 salgını tedbirleri kapsamında başvurucuya sokağa çıkma yasağını ihlal ettiği gerekçesi ile Diyarbakır Yenişehir İlçe Emniyet Müdürlüğünce 30/12/2020 tarihinde,</w:t>
      </w:r>
      <w:r w:rsidR="005741D4" w:rsidRPr="005741D4">
        <w:rPr>
          <w:rFonts w:cs="Times New Roman"/>
          <w:color w:val="010000"/>
        </w:rPr>
        <w:t xml:space="preserve"> </w:t>
      </w:r>
      <w:r w:rsidRPr="005741D4">
        <w:rPr>
          <w:rFonts w:cs="Times New Roman"/>
          <w:color w:val="010000"/>
        </w:rPr>
        <w:t>24/4/1930 tarihli ve 1593 sayılı Umumi Hıfzıssıhha Kanunu'nun 282. maddesi uyarınca 3.150 TL idari para cezası uygulanmıştır.</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3.</w:t>
      </w:r>
      <w:r w:rsidR="005741D4" w:rsidRPr="005741D4">
        <w:rPr>
          <w:rFonts w:cs="Times New Roman"/>
          <w:color w:val="010000"/>
        </w:rPr>
        <w:t xml:space="preserve"> </w:t>
      </w:r>
      <w:r w:rsidRPr="005741D4">
        <w:rPr>
          <w:rFonts w:cs="Times New Roman"/>
          <w:color w:val="010000"/>
        </w:rPr>
        <w:t>Başvurucu, idari para cezası yaptırımına karşı Diyarbakır 5. Sulh Ceza Hâkimliğine (Hâkimlik) başvurmuştur. Başvurucu dilekçesinde temel hak ve özgürlüklerin ancak kanunla sınırlanabileceğini, genelge ile verilen sokağa çıkma yasağının kanuni dayanağının bulunmadığını, gerekçe belirtmeden üst sınırdan para cezasına hükmedildiğini ileri sürmüştür.</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4.</w:t>
      </w:r>
      <w:r w:rsidR="005741D4" w:rsidRPr="005741D4">
        <w:rPr>
          <w:rFonts w:cs="Times New Roman"/>
          <w:color w:val="010000"/>
        </w:rPr>
        <w:t xml:space="preserve"> </w:t>
      </w:r>
      <w:r w:rsidRPr="005741D4">
        <w:rPr>
          <w:rFonts w:cs="Times New Roman"/>
          <w:color w:val="010000"/>
        </w:rPr>
        <w:t xml:space="preserve">Hâkimlik itirazın kısmen kabulüne </w:t>
      </w:r>
      <w:proofErr w:type="spellStart"/>
      <w:r w:rsidRPr="005741D4">
        <w:rPr>
          <w:rFonts w:cs="Times New Roman"/>
          <w:color w:val="010000"/>
        </w:rPr>
        <w:t>vepara</w:t>
      </w:r>
      <w:proofErr w:type="spellEnd"/>
      <w:r w:rsidRPr="005741D4">
        <w:rPr>
          <w:rFonts w:cs="Times New Roman"/>
          <w:color w:val="010000"/>
        </w:rPr>
        <w:t xml:space="preserve"> cezasının 900 </w:t>
      </w:r>
      <w:proofErr w:type="spellStart"/>
      <w:r w:rsidRPr="005741D4">
        <w:rPr>
          <w:rFonts w:cs="Times New Roman"/>
          <w:color w:val="010000"/>
        </w:rPr>
        <w:t>TL'yeindirilmesine</w:t>
      </w:r>
      <w:proofErr w:type="spellEnd"/>
      <w:r w:rsidRPr="005741D4">
        <w:rPr>
          <w:rFonts w:cs="Times New Roman"/>
          <w:color w:val="010000"/>
        </w:rPr>
        <w:t xml:space="preserve"> karar vermiştir. </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5.</w:t>
      </w:r>
      <w:r w:rsidR="005741D4" w:rsidRPr="005741D4">
        <w:rPr>
          <w:rFonts w:cs="Times New Roman"/>
          <w:color w:val="010000"/>
        </w:rPr>
        <w:t xml:space="preserve"> </w:t>
      </w:r>
      <w:r w:rsidRPr="005741D4">
        <w:rPr>
          <w:rFonts w:cs="Times New Roman"/>
          <w:color w:val="010000"/>
        </w:rPr>
        <w:t xml:space="preserve">Başvurucu kısmen kabul kararı verilmesine ve işin vekil vasıtasıyla takip edilmesine rağmen vekalet ücretine hükmedilmediği ve kararın yerinde olmadığı gerekçesiyle itiraz etmiştir. </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6. Söz konusu itiraz, Diyarbakır 1. Sulh Ceza Hâkimliğince kesin olarak reddedilmiştir. Bu karar 30/6/2021 tarihinde başvurucuya tebliğ edilmiştir. Başvurucu 26/7/2021 tarihinde bireysel başvuruda bulunmuştur.</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7.</w:t>
      </w:r>
      <w:r w:rsidR="005741D4" w:rsidRPr="005741D4">
        <w:rPr>
          <w:color w:val="010000"/>
        </w:rPr>
        <w:t xml:space="preserve"> </w:t>
      </w:r>
      <w:r w:rsidRPr="005741D4">
        <w:rPr>
          <w:color w:val="010000"/>
        </w:rPr>
        <w:t>Komisyonca; başvurucunun</w:t>
      </w:r>
      <w:r w:rsidR="005741D4">
        <w:rPr>
          <w:color w:val="010000"/>
        </w:rPr>
        <w:t xml:space="preserve"> </w:t>
      </w:r>
      <w:r w:rsidRPr="005741D4">
        <w:rPr>
          <w:color w:val="010000"/>
        </w:rPr>
        <w:t>adli yardım talebinin kabulüne, başvurunun kabul edilebilirlik ve esas incelemesinin Bölüm tarafından yapılmasına karar verilmiştir.</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b/>
          <w:color w:val="010000"/>
        </w:rPr>
        <w:lastRenderedPageBreak/>
        <w:t>II.</w:t>
      </w:r>
      <w:r w:rsidR="005741D4" w:rsidRPr="005741D4">
        <w:rPr>
          <w:rFonts w:cs="Times New Roman"/>
          <w:color w:val="010000"/>
        </w:rPr>
        <w:t xml:space="preserve"> </w:t>
      </w:r>
      <w:r w:rsidRPr="005741D4">
        <w:rPr>
          <w:rFonts w:cs="Times New Roman"/>
          <w:b/>
          <w:color w:val="010000"/>
        </w:rPr>
        <w:t>DEĞERLENDİRME</w:t>
      </w:r>
    </w:p>
    <w:p w:rsidR="005741D4" w:rsidRDefault="005741D4" w:rsidP="005741D4">
      <w:pPr>
        <w:pStyle w:val="edf1450279197849"/>
        <w:widowControl/>
        <w:suppressAutoHyphens w:val="0"/>
        <w:spacing w:after="200"/>
        <w:ind w:left="283" w:right="283" w:firstLine="567"/>
        <w:jc w:val="both"/>
        <w:rPr>
          <w:rFonts w:cs="Times New Roman"/>
          <w:b/>
          <w:color w:val="010000"/>
        </w:rPr>
      </w:pPr>
      <w:r>
        <w:rPr>
          <w:rFonts w:cs="Times New Roman"/>
          <w:b/>
          <w:color w:val="010000"/>
        </w:rPr>
        <w:t>A. Suçta ve Cezada Kanunilik İlkesinin İhlal Edildiğine İlişkin İddia</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8. Başvurucu; 1593 sayılı Umumi Hıfzıssıhha Kanunu dayanak gösterilerek hakkında sokağa çıkma yasağına aykırı hareket ettiği gerekçesiyle idari para cezası uygulanmasının Anayasa'nın 13. maddesinde altı çizilen temel hak ve hürriyetlerin ancak kanunla sınırlanabileceği ilkesine aykırı olduğunu ileri sürmüştür.</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9.</w:t>
      </w:r>
      <w:r w:rsidR="005741D4" w:rsidRPr="005741D4">
        <w:rPr>
          <w:rFonts w:cs="Times New Roman"/>
          <w:color w:val="010000"/>
        </w:rPr>
        <w:t xml:space="preserve"> </w:t>
      </w:r>
      <w:r w:rsidRPr="005741D4">
        <w:rPr>
          <w:rFonts w:cs="Times New Roman"/>
          <w:color w:val="010000"/>
        </w:rPr>
        <w:t xml:space="preserve">1593 sayılı Kanun’un 282. maddesi şöyledir: </w:t>
      </w:r>
    </w:p>
    <w:p w:rsidR="00E27D79" w:rsidRPr="005741D4" w:rsidRDefault="005741D4" w:rsidP="005741D4">
      <w:pPr>
        <w:widowControl/>
        <w:suppressAutoHyphens w:val="0"/>
        <w:spacing w:after="200"/>
        <w:ind w:left="283" w:right="283" w:firstLine="567"/>
        <w:jc w:val="both"/>
        <w:rPr>
          <w:color w:val="010000"/>
        </w:rPr>
      </w:pPr>
      <w:r w:rsidRPr="005741D4">
        <w:rPr>
          <w:i/>
          <w:iCs/>
          <w:color w:val="010000"/>
          <w:sz w:val="22"/>
        </w:rPr>
        <w:t xml:space="preserve"> </w:t>
      </w:r>
      <w:r w:rsidR="0020194F" w:rsidRPr="005741D4">
        <w:rPr>
          <w:i/>
          <w:iCs/>
          <w:color w:val="010000"/>
          <w:sz w:val="22"/>
        </w:rPr>
        <w:t xml:space="preserve">“Bu Kanunda yazılı olan yasaklara aykırı hareket edenler veya zorunluluklara uymayanlara, fiilleri ayrıca suç oluşturmadığı takdirde, </w:t>
      </w:r>
      <w:proofErr w:type="spellStart"/>
      <w:r w:rsidR="0020194F" w:rsidRPr="005741D4">
        <w:rPr>
          <w:i/>
          <w:iCs/>
          <w:color w:val="010000"/>
          <w:sz w:val="22"/>
        </w:rPr>
        <w:t>ikiyüzelli</w:t>
      </w:r>
      <w:proofErr w:type="spellEnd"/>
      <w:r w:rsidR="0020194F" w:rsidRPr="005741D4">
        <w:rPr>
          <w:i/>
          <w:iCs/>
          <w:color w:val="010000"/>
          <w:sz w:val="22"/>
        </w:rPr>
        <w:t xml:space="preserve"> Türk Lirasından bin Türk Lirasına kadar idarî para cezası verilir.”</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t>10.</w:t>
      </w:r>
      <w:r w:rsidR="005741D4" w:rsidRPr="005741D4">
        <w:rPr>
          <w:rFonts w:cs="Times New Roman"/>
          <w:color w:val="010000"/>
        </w:rPr>
        <w:t xml:space="preserve"> </w:t>
      </w:r>
      <w:r w:rsidRPr="005741D4">
        <w:rPr>
          <w:rFonts w:cs="Times New Roman"/>
          <w:color w:val="010000"/>
        </w:rPr>
        <w:t>3/11/2022 tarihli ve 7420 sayılı Gelir Vergisi Kanunu ile Bazı Kanun ve Kanun Hükmünde Kararnamelerde Değişiklik Yapılmasına Dair Kanun'un geçici 4. maddesi şöyledir:</w:t>
      </w:r>
    </w:p>
    <w:p w:rsidR="00E27D79" w:rsidRPr="005741D4" w:rsidRDefault="0020194F" w:rsidP="005741D4">
      <w:pPr>
        <w:widowControl/>
        <w:suppressAutoHyphens w:val="0"/>
        <w:spacing w:after="200"/>
        <w:ind w:left="283" w:right="283" w:firstLine="567"/>
        <w:jc w:val="both"/>
        <w:rPr>
          <w:color w:val="010000"/>
        </w:rPr>
      </w:pPr>
      <w:r w:rsidRPr="005741D4">
        <w:rPr>
          <w:i/>
          <w:iCs/>
          <w:color w:val="010000"/>
          <w:sz w:val="22"/>
        </w:rPr>
        <w:t>"(1) 24/4/1930 tarihli ve 1593 sayılı Umumi Hıfzıssıhha Kanunu ile 30/3/2005 tarihli ve 5326 sayılı Kabahatler Kanunu kapsamında COVID-19 salgın hastalığının ülkemizde yayılmasını önlemek amacıyla 11/3/2020 tarihinden itibaren bu maddenin yürürlüğe girdiği tarihe kadar verilen ve bu Kanunun yayımlandığı tarih itibarıyla ilgilisine tebliğ edilmemiş olan idari para cezaları tebliğ edilmez, tebliğ edilmiş olanların tahsilinden vazgeçilir. Bu maddenin yürürlük tarihinden önce işlenen söz konusu kabahatler için idari para cezası verilmez. (İptal ibare: Anayasa Mahkemesinin 5/4/2023 Tarihli ve E: 2023/44, K: 2023/71 Sayılı Kararı ile.)</w:t>
      </w:r>
    </w:p>
    <w:p w:rsidR="00E27D79" w:rsidRPr="005741D4" w:rsidRDefault="005741D4" w:rsidP="005741D4">
      <w:pPr>
        <w:widowControl/>
        <w:suppressAutoHyphens w:val="0"/>
        <w:spacing w:after="200"/>
        <w:ind w:left="283" w:right="283" w:firstLine="567"/>
        <w:jc w:val="both"/>
        <w:rPr>
          <w:color w:val="010000"/>
        </w:rPr>
      </w:pPr>
      <w:r w:rsidRPr="005741D4">
        <w:rPr>
          <w:i/>
          <w:iCs/>
          <w:color w:val="010000"/>
          <w:sz w:val="22"/>
        </w:rPr>
        <w:t xml:space="preserve"> </w:t>
      </w:r>
      <w:r w:rsidR="0020194F" w:rsidRPr="005741D4">
        <w:rPr>
          <w:i/>
          <w:iCs/>
          <w:color w:val="010000"/>
          <w:sz w:val="22"/>
        </w:rPr>
        <w:t xml:space="preserve">(2) (Ek: 14/7/2023-7456/24 </w:t>
      </w:r>
      <w:proofErr w:type="spellStart"/>
      <w:r w:rsidR="0020194F" w:rsidRPr="005741D4">
        <w:rPr>
          <w:i/>
          <w:iCs/>
          <w:color w:val="010000"/>
          <w:sz w:val="22"/>
        </w:rPr>
        <w:t>md.</w:t>
      </w:r>
      <w:proofErr w:type="spellEnd"/>
      <w:r w:rsidR="0020194F" w:rsidRPr="005741D4">
        <w:rPr>
          <w:i/>
          <w:iCs/>
          <w:color w:val="010000"/>
          <w:sz w:val="22"/>
        </w:rPr>
        <w:t>) Bu maddenin yürürlüğe girdiği tarihten önce tahsil edilen idari para cezaları, 31/12/2024 tarihine kadar tahsilatı yapan idari birime yapılacak başvuru üzerine Hazine ve Maliye Bakanlığınca belirlenecek usul ve esaslara göre iade edilir."</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11.</w:t>
      </w:r>
      <w:r w:rsidR="005741D4" w:rsidRPr="005741D4">
        <w:rPr>
          <w:color w:val="010000"/>
        </w:rPr>
        <w:t xml:space="preserve"> </w:t>
      </w:r>
      <w:r w:rsidRPr="005741D4">
        <w:rPr>
          <w:color w:val="010000"/>
        </w:rPr>
        <w:t>COVID-19 salgını ile mücadele amacıyla alınan bazı tedbirlere aykırı hareket edildiği gerekçesiyle 30/3/2005 tarihli ve 5326 sayılı Kabahatler Kanunu'nun ilgili maddelerine dayanılarak uygulanan idari para cezalarının iade edilmemesinin öngörüldüğü 7420 sayılı Kanun’un geçici 4. maddesinin ikinci cümlesindeki "</w:t>
      </w:r>
      <w:r w:rsidRPr="005741D4">
        <w:rPr>
          <w:i/>
          <w:iCs/>
          <w:color w:val="010000"/>
        </w:rPr>
        <w:t>...tahsil edilmiş olan idari para cezaları iade edilmez.</w:t>
      </w:r>
      <w:r w:rsidRPr="005741D4">
        <w:rPr>
          <w:color w:val="010000"/>
        </w:rPr>
        <w:t>" kuralı Anayasa Mahkemesi Genel Kurulu tarafından yapılan değerlendirme sonucunda Anayasa’ya aykırı olduğu gerekçesiyle iptal edilmiştir (AYM, E. 2023/44, K.2023/71, 5/4/2023).</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12.</w:t>
      </w:r>
      <w:r w:rsidR="005741D4" w:rsidRPr="005741D4">
        <w:rPr>
          <w:color w:val="010000"/>
        </w:rPr>
        <w:t xml:space="preserve"> </w:t>
      </w:r>
      <w:r w:rsidRPr="005741D4">
        <w:rPr>
          <w:color w:val="010000"/>
        </w:rPr>
        <w:t>Anayasa Mahkemesi Genel Kurulu tarafından verilen söz konusu iptal kararı üzerine bu defa 7420 sayılı Kanun'un geçici 4. maddesinin yürürlüğe girdiği 9/11/2022 tarihinden önce yapılan ödemelerin iade edilmesini temin etmek amacıyla 7420 sayılı Kanun'un geçici 4. maddesine “</w:t>
      </w:r>
      <w:r w:rsidRPr="005741D4">
        <w:rPr>
          <w:i/>
          <w:iCs/>
          <w:color w:val="010000"/>
        </w:rPr>
        <w:t>(2) Bu maddenin yürürlüğe girdiği tarihten önce tahsil edilen idari para cezaları, 31/12/2024 tarihine kadar tahsilatı yapan idari birime yapılacak başvuru üzerine Hazine ve Maliye Bakanlığınca belirlenecek usul ve esaslara göre iade edilir.</w:t>
      </w:r>
      <w:r w:rsidRPr="005741D4">
        <w:rPr>
          <w:color w:val="010000"/>
        </w:rPr>
        <w:t xml:space="preserve">” fıkrası eklenmiştir (bkz. § 10). Bu düzenlemeye göre 7420 sayılı Kanun'un geçici 4. maddesi kapsamında olan ve anılan maddenin yürürlüğe girdiği 9/11/2022 tarihinden önce tahsil edilen idari para cezalarının, tahsilatı yapan idari birime 31/12/2024 tarihine kadar başvurulması hâlinde iade edilmesi imkânı getirilmiştir. Buna ek olarak Hazine ve Maliye Bakanlığı tarafından hazırlanan ve Anayasa Mahkemesinin yukarıda anılan iptal kararına da atıf yapılarak söz konusu idari para cezalarının iade edilmesine yönelik usul ve esasların düzenlendiği Tahsilat Genel Tebliği 5/8/2023 tarihli ve 32270 sayılı Resmî </w:t>
      </w:r>
      <w:proofErr w:type="spellStart"/>
      <w:r w:rsidRPr="005741D4">
        <w:rPr>
          <w:color w:val="010000"/>
        </w:rPr>
        <w:t>Gazete’de</w:t>
      </w:r>
      <w:proofErr w:type="spellEnd"/>
      <w:r w:rsidRPr="005741D4">
        <w:rPr>
          <w:color w:val="010000"/>
        </w:rPr>
        <w:t xml:space="preserve"> yayımlanarak yürürlüğe girmiştir.</w:t>
      </w:r>
    </w:p>
    <w:p w:rsidR="00E27D79" w:rsidRPr="005741D4" w:rsidRDefault="0020194F" w:rsidP="005741D4">
      <w:pPr>
        <w:widowControl/>
        <w:suppressAutoHyphens w:val="0"/>
        <w:spacing w:after="200"/>
        <w:ind w:left="283" w:right="283" w:firstLine="567"/>
        <w:jc w:val="both"/>
        <w:rPr>
          <w:color w:val="010000"/>
        </w:rPr>
      </w:pPr>
      <w:r w:rsidRPr="005741D4">
        <w:rPr>
          <w:color w:val="010000"/>
        </w:rPr>
        <w:lastRenderedPageBreak/>
        <w:t>13.</w:t>
      </w:r>
      <w:r w:rsidR="005741D4" w:rsidRPr="005741D4">
        <w:rPr>
          <w:color w:val="010000"/>
        </w:rPr>
        <w:t xml:space="preserve"> </w:t>
      </w:r>
      <w:r w:rsidRPr="005741D4">
        <w:rPr>
          <w:color w:val="010000"/>
        </w:rPr>
        <w:t>Anılan kurallarla kanun koyucu ve kamu makamları tarafından Anayasa Mahkemesi kararları çerçevesinde -ödenmiş ya da ödenmemiş olsun- başvuruya konu idari para cezalarının sonuçlarını giderici mevzuat değişiklikleri yapıldığı anlaşılmıştır.</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14.</w:t>
      </w:r>
      <w:r w:rsidR="005741D4" w:rsidRPr="005741D4">
        <w:rPr>
          <w:color w:val="010000"/>
        </w:rPr>
        <w:t xml:space="preserve"> </w:t>
      </w:r>
      <w:r w:rsidRPr="005741D4">
        <w:rPr>
          <w:color w:val="010000"/>
        </w:rPr>
        <w:t xml:space="preserve">Anayasa Mahkemesi </w:t>
      </w:r>
      <w:proofErr w:type="spellStart"/>
      <w:r w:rsidRPr="005741D4">
        <w:rPr>
          <w:color w:val="010000"/>
        </w:rPr>
        <w:t>İçtüzüğü'nün</w:t>
      </w:r>
      <w:proofErr w:type="spellEnd"/>
      <w:r w:rsidRPr="005741D4">
        <w:rPr>
          <w:color w:val="010000"/>
        </w:rPr>
        <w:t xml:space="preserve"> (İçtüzük) “</w:t>
      </w:r>
      <w:r w:rsidRPr="005741D4">
        <w:rPr>
          <w:i/>
          <w:iCs/>
          <w:color w:val="010000"/>
        </w:rPr>
        <w:t>Düşme kararı”</w:t>
      </w:r>
      <w:r w:rsidRPr="005741D4">
        <w:rPr>
          <w:color w:val="010000"/>
        </w:rPr>
        <w:t xml:space="preserve"> kenar başlıklı 80. maddesinin ilgili kısmı şöyledir:</w:t>
      </w:r>
    </w:p>
    <w:p w:rsidR="00E27D79" w:rsidRPr="005741D4" w:rsidRDefault="0020194F" w:rsidP="005741D4">
      <w:pPr>
        <w:widowControl/>
        <w:suppressAutoHyphens w:val="0"/>
        <w:spacing w:after="200"/>
        <w:ind w:left="283" w:right="283" w:firstLine="567"/>
        <w:jc w:val="both"/>
        <w:rPr>
          <w:color w:val="010000"/>
        </w:rPr>
      </w:pPr>
      <w:r w:rsidRPr="005741D4">
        <w:rPr>
          <w:color w:val="010000"/>
          <w:sz w:val="22"/>
        </w:rPr>
        <w:t>"</w:t>
      </w:r>
      <w:r w:rsidRPr="005741D4">
        <w:rPr>
          <w:i/>
          <w:iCs/>
          <w:color w:val="010000"/>
          <w:sz w:val="22"/>
        </w:rPr>
        <w:t>(1) Bölümler ya da Komisyonlarca yargılamanın her aşamasında aşağıdaki hâllerde düşme kararı verilebilir:</w:t>
      </w:r>
    </w:p>
    <w:p w:rsidR="00E27D79" w:rsidRPr="005741D4" w:rsidRDefault="0020194F" w:rsidP="005741D4">
      <w:pPr>
        <w:widowControl/>
        <w:suppressAutoHyphens w:val="0"/>
        <w:spacing w:after="200"/>
        <w:ind w:left="283" w:right="283" w:firstLine="567"/>
        <w:jc w:val="both"/>
        <w:rPr>
          <w:color w:val="010000"/>
        </w:rPr>
      </w:pPr>
      <w:r w:rsidRPr="005741D4">
        <w:rPr>
          <w:i/>
          <w:iCs/>
          <w:color w:val="010000"/>
          <w:sz w:val="22"/>
        </w:rPr>
        <w:t>...</w:t>
      </w:r>
    </w:p>
    <w:p w:rsidR="00E27D79" w:rsidRPr="005741D4" w:rsidRDefault="0020194F" w:rsidP="005741D4">
      <w:pPr>
        <w:widowControl/>
        <w:suppressAutoHyphens w:val="0"/>
        <w:spacing w:after="200"/>
        <w:ind w:left="283" w:right="283" w:firstLine="567"/>
        <w:jc w:val="both"/>
        <w:rPr>
          <w:color w:val="010000"/>
        </w:rPr>
      </w:pPr>
      <w:r w:rsidRPr="005741D4">
        <w:rPr>
          <w:i/>
          <w:iCs/>
          <w:color w:val="010000"/>
          <w:sz w:val="22"/>
        </w:rPr>
        <w:t>c) İhlalin ve sonuçlarının ortadan kalkmış olması.</w:t>
      </w:r>
    </w:p>
    <w:p w:rsidR="00E27D79" w:rsidRPr="005741D4" w:rsidRDefault="0020194F" w:rsidP="005741D4">
      <w:pPr>
        <w:widowControl/>
        <w:suppressAutoHyphens w:val="0"/>
        <w:spacing w:after="200"/>
        <w:ind w:left="283" w:right="283" w:firstLine="567"/>
        <w:jc w:val="both"/>
        <w:rPr>
          <w:color w:val="010000"/>
        </w:rPr>
      </w:pPr>
      <w:r w:rsidRPr="005741D4">
        <w:rPr>
          <w:i/>
          <w:iCs/>
          <w:color w:val="010000"/>
          <w:sz w:val="22"/>
        </w:rPr>
        <w:t xml:space="preserve">ç) Bölümler ya da Komisyonlarca saptanan herhangi bir başka gerekçeden ötürü, başvurunun incelenmesinin sürdürülmesini haklı kılan bir neden görülmemesi. </w:t>
      </w:r>
    </w:p>
    <w:p w:rsidR="00E27D79" w:rsidRPr="005741D4" w:rsidRDefault="005741D4" w:rsidP="005741D4">
      <w:pPr>
        <w:widowControl/>
        <w:suppressAutoHyphens w:val="0"/>
        <w:spacing w:after="200"/>
        <w:ind w:left="283" w:right="283" w:firstLine="567"/>
        <w:jc w:val="both"/>
        <w:rPr>
          <w:color w:val="010000"/>
        </w:rPr>
      </w:pPr>
      <w:r w:rsidRPr="005741D4">
        <w:rPr>
          <w:i/>
          <w:iCs/>
          <w:color w:val="010000"/>
          <w:sz w:val="22"/>
        </w:rPr>
        <w:t xml:space="preserve"> </w:t>
      </w:r>
      <w:r w:rsidR="0020194F" w:rsidRPr="005741D4">
        <w:rPr>
          <w:i/>
          <w:iCs/>
          <w:color w:val="010000"/>
          <w:sz w:val="22"/>
        </w:rPr>
        <w:t>(2) Bölümler ya da Komisyonlar; yukarıdaki fıkrada belirtilen nitelikteki bir başvuruyu, Anayasanın uygulanması ve yorumlanması veya temel hakların kapsamının ve sınırlarının belirlenmesi ya da insan haklarına saygının gerekli kıldığı hâllerde incelemeye devam edebilir.</w:t>
      </w:r>
      <w:r w:rsidR="0020194F" w:rsidRPr="005741D4">
        <w:rPr>
          <w:color w:val="010000"/>
          <w:sz w:val="22"/>
        </w:rPr>
        <w:t>"</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15.</w:t>
      </w:r>
      <w:r w:rsidR="005741D4" w:rsidRPr="005741D4">
        <w:rPr>
          <w:color w:val="010000"/>
        </w:rPr>
        <w:t xml:space="preserve"> </w:t>
      </w:r>
      <w:proofErr w:type="spellStart"/>
      <w:r w:rsidRPr="005741D4">
        <w:rPr>
          <w:color w:val="010000"/>
        </w:rPr>
        <w:t>İçtüzük'ün</w:t>
      </w:r>
      <w:proofErr w:type="spellEnd"/>
      <w:r w:rsidRPr="005741D4">
        <w:rPr>
          <w:color w:val="010000"/>
        </w:rPr>
        <w:t xml:space="preserve"> 80. maddesinin (1) numaralı fıkrasının (c) bendi gereği Anayasa Mahkemesi, ihlalin ve sonuçlarının ortadan kalkmış olması hâlinde başvurunun düşmesine karar verebilir (</w:t>
      </w:r>
      <w:r w:rsidRPr="005741D4">
        <w:rPr>
          <w:i/>
          <w:iCs/>
          <w:color w:val="010000"/>
        </w:rPr>
        <w:t>S.Ö.,</w:t>
      </w:r>
      <w:r w:rsidRPr="005741D4">
        <w:rPr>
          <w:color w:val="010000"/>
        </w:rPr>
        <w:t xml:space="preserve"> B. No: 2013/7087, 18/9/2014, § 23; </w:t>
      </w:r>
      <w:r w:rsidRPr="005741D4">
        <w:rPr>
          <w:i/>
          <w:iCs/>
          <w:color w:val="010000"/>
        </w:rPr>
        <w:t>Mehmet Emin Bülbül,</w:t>
      </w:r>
      <w:r w:rsidRPr="005741D4">
        <w:rPr>
          <w:color w:val="010000"/>
        </w:rPr>
        <w:t xml:space="preserve"> B. No: 2014/4463, 16/6/2016, §§ 46-48).</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16.</w:t>
      </w:r>
      <w:r w:rsidR="005741D4" w:rsidRPr="005741D4">
        <w:rPr>
          <w:color w:val="010000"/>
        </w:rPr>
        <w:t xml:space="preserve"> </w:t>
      </w:r>
      <w:r w:rsidRPr="005741D4">
        <w:rPr>
          <w:color w:val="010000"/>
        </w:rPr>
        <w:t>Yukarıda yer verilen kanuni düzenlemelerden de anlaşılacağı üzere ilgili kamu birimine 31/12/2024 tarihine kadar başvurulması durumunda COVID-19 salgın hastalığının ülkemizde yayılmasını önlemek için 1593 ve/veya 5326 sayılı Kanunlar uyarınca başvurucu hakkında uygulanan idari para cezasına konu tutarın iade edilmesi mümkün hâle gelmiştir. Dolayısıyla ihlalin ve sonuçlarının ortadan kaldırılmasına yönelik gerekli mevzuat değişikliklerinin yapıldığı açıktır.</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17.</w:t>
      </w:r>
      <w:r w:rsidR="005741D4" w:rsidRPr="005741D4">
        <w:rPr>
          <w:color w:val="010000"/>
        </w:rPr>
        <w:t xml:space="preserve"> </w:t>
      </w:r>
      <w:r w:rsidRPr="005741D4">
        <w:rPr>
          <w:color w:val="010000"/>
        </w:rPr>
        <w:t xml:space="preserve">Öte yandan Anayasa Mahkemesi, somut başvuruda dile getirilen şikâyeti daha önce </w:t>
      </w:r>
      <w:r w:rsidRPr="005741D4">
        <w:rPr>
          <w:i/>
          <w:iCs/>
          <w:color w:val="010000"/>
        </w:rPr>
        <w:t xml:space="preserve">Mustafa Karakuş </w:t>
      </w:r>
      <w:r w:rsidRPr="005741D4">
        <w:rPr>
          <w:color w:val="010000"/>
        </w:rPr>
        <w:t xml:space="preserve">([GK], B. No: 2020/34781, 17/1/2023) kararında incelemiştir. Kararda başvurucuya isnat edilen </w:t>
      </w:r>
      <w:r w:rsidRPr="005741D4">
        <w:rPr>
          <w:i/>
          <w:iCs/>
          <w:color w:val="010000"/>
        </w:rPr>
        <w:t>sokağa çıkma yasağını ihlal etme</w:t>
      </w:r>
      <w:r w:rsidRPr="005741D4">
        <w:rPr>
          <w:color w:val="010000"/>
        </w:rPr>
        <w:t xml:space="preserve"> fiilinin 1593 sayılı Kanun'un 282. maddesinde yer alan </w:t>
      </w:r>
      <w:r w:rsidRPr="005741D4">
        <w:rPr>
          <w:i/>
          <w:iCs/>
          <w:color w:val="010000"/>
        </w:rPr>
        <w:t xml:space="preserve">"bu Kanunda yazılı olan yasaklara aykırı hareket etme veya zorunluluklara uymayanlara, ... idarî para cezası verilir.” </w:t>
      </w:r>
      <w:r w:rsidRPr="005741D4">
        <w:rPr>
          <w:color w:val="010000"/>
        </w:rPr>
        <w:t xml:space="preserve">şeklindeki hükmün kapsamına girmediği sonucuna ulaşılarak Anayasa'nın 38. maddesinin birinci fıkrasında düzenlenen suçta ve cezada kanunilik ilkesinin ihlal edildiğine karar verilmiştir (ayrıca benzer yönde değerlendirmeler içeren kararlar için bkz. </w:t>
      </w:r>
      <w:r w:rsidRPr="005741D4">
        <w:rPr>
          <w:i/>
          <w:iCs/>
          <w:color w:val="010000"/>
        </w:rPr>
        <w:t xml:space="preserve">Selma Atabey </w:t>
      </w:r>
      <w:r w:rsidRPr="005741D4">
        <w:rPr>
          <w:color w:val="010000"/>
        </w:rPr>
        <w:t xml:space="preserve">[GK], B. No: 2021/38893, 27/9/2023; </w:t>
      </w:r>
      <w:r w:rsidRPr="005741D4">
        <w:rPr>
          <w:i/>
          <w:iCs/>
          <w:color w:val="010000"/>
        </w:rPr>
        <w:t xml:space="preserve">Çağla </w:t>
      </w:r>
      <w:proofErr w:type="spellStart"/>
      <w:r w:rsidRPr="005741D4">
        <w:rPr>
          <w:i/>
          <w:iCs/>
          <w:color w:val="010000"/>
        </w:rPr>
        <w:t>Yolaşan</w:t>
      </w:r>
      <w:proofErr w:type="spellEnd"/>
      <w:r w:rsidRPr="005741D4">
        <w:rPr>
          <w:i/>
          <w:iCs/>
          <w:color w:val="010000"/>
        </w:rPr>
        <w:t xml:space="preserve"> Kurul</w:t>
      </w:r>
      <w:r w:rsidRPr="005741D4">
        <w:rPr>
          <w:color w:val="010000"/>
        </w:rPr>
        <w:t xml:space="preserve"> [GK], B. No: 2021/29184, 27/9/2023). Anılan kararda yapılan değerlendirmeler ve ulaşılan sonuç gözetildiğinde -</w:t>
      </w:r>
      <w:proofErr w:type="spellStart"/>
      <w:r w:rsidRPr="005741D4">
        <w:rPr>
          <w:color w:val="010000"/>
        </w:rPr>
        <w:t>İçtüzük'ün</w:t>
      </w:r>
      <w:proofErr w:type="spellEnd"/>
      <w:r w:rsidRPr="005741D4">
        <w:rPr>
          <w:color w:val="010000"/>
        </w:rPr>
        <w:t xml:space="preserve"> 80. maddesinin (2) numaralı fıkrasında öngörülen- başvurunun incelenmesinin devamında Anayasa'nın uygulanması veya temel hakların kapsamının ve sınırlarının belirlenmesi ya da insan haklarına saygının gerekli kıldığı herhangi bir durumun da söz konusu olmadığı anlaşılmıştır.</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18.</w:t>
      </w:r>
      <w:r w:rsidR="005741D4" w:rsidRPr="005741D4">
        <w:rPr>
          <w:color w:val="010000"/>
        </w:rPr>
        <w:t xml:space="preserve"> </w:t>
      </w:r>
      <w:r w:rsidRPr="005741D4">
        <w:rPr>
          <w:color w:val="010000"/>
        </w:rPr>
        <w:t xml:space="preserve">Açıklanan gerekçelerle ihlalin ve sonuçlarının ortadan kalkmış olması nedeniyle başvurunun bu kısmının </w:t>
      </w:r>
      <w:r w:rsidRPr="005741D4">
        <w:rPr>
          <w:i/>
          <w:iCs/>
          <w:color w:val="010000"/>
        </w:rPr>
        <w:t>düşmesine</w:t>
      </w:r>
      <w:r w:rsidRPr="005741D4">
        <w:rPr>
          <w:color w:val="010000"/>
        </w:rPr>
        <w:t xml:space="preserve"> karar verilmesi gerekir.</w:t>
      </w:r>
    </w:p>
    <w:p w:rsidR="005741D4" w:rsidRDefault="005741D4" w:rsidP="005741D4">
      <w:pPr>
        <w:pStyle w:val="edf1363589658683"/>
        <w:widowControl/>
        <w:suppressAutoHyphens w:val="0"/>
        <w:spacing w:after="200"/>
        <w:ind w:left="283" w:right="283" w:firstLine="567"/>
        <w:jc w:val="both"/>
        <w:rPr>
          <w:rFonts w:cs="Times New Roman"/>
          <w:b/>
          <w:color w:val="010000"/>
        </w:rPr>
      </w:pPr>
      <w:r>
        <w:rPr>
          <w:rFonts w:cs="Times New Roman"/>
          <w:b/>
          <w:color w:val="010000"/>
        </w:rPr>
        <w:t>B. Mülkiyet Hakkının İhlal Edildiğine İlişkin İddia</w:t>
      </w:r>
    </w:p>
    <w:p w:rsidR="00E27D79" w:rsidRPr="005741D4" w:rsidRDefault="0020194F" w:rsidP="005741D4">
      <w:pPr>
        <w:pStyle w:val="edf1363589658683"/>
        <w:widowControl/>
        <w:suppressAutoHyphens w:val="0"/>
        <w:spacing w:after="200"/>
        <w:ind w:left="283" w:right="283" w:firstLine="567"/>
        <w:jc w:val="both"/>
        <w:rPr>
          <w:rFonts w:cs="Times New Roman"/>
          <w:color w:val="010000"/>
          <w:sz w:val="28"/>
        </w:rPr>
      </w:pPr>
      <w:r w:rsidRPr="005741D4">
        <w:rPr>
          <w:rFonts w:cs="Times New Roman"/>
          <w:color w:val="010000"/>
        </w:rPr>
        <w:t>19. Başvurucu, itirazın kısmen kabulüne karar verildiği halde lehine vekalet ücretinin ödenmediğini belirterek mülkiyet hakkının ihlal edildiğini ileri sürmüştür.</w:t>
      </w:r>
    </w:p>
    <w:p w:rsidR="00E27D79" w:rsidRPr="005741D4" w:rsidRDefault="0020194F" w:rsidP="005741D4">
      <w:pPr>
        <w:pStyle w:val="edf1450279197849"/>
        <w:widowControl/>
        <w:suppressAutoHyphens w:val="0"/>
        <w:spacing w:after="200"/>
        <w:ind w:left="283" w:right="283" w:firstLine="567"/>
        <w:jc w:val="both"/>
        <w:rPr>
          <w:rFonts w:cs="Times New Roman"/>
          <w:color w:val="010000"/>
        </w:rPr>
      </w:pPr>
      <w:r w:rsidRPr="005741D4">
        <w:rPr>
          <w:rFonts w:cs="Times New Roman"/>
          <w:color w:val="010000"/>
        </w:rPr>
        <w:lastRenderedPageBreak/>
        <w:t>20. Başvurucunun dile getirdiği şikâyetlere benzer şikâyetler Anayasa Mahkemesince daha önce incelenmiş ve ilgili Anayasa kurallarının yorumlanmış olduğu</w:t>
      </w:r>
      <w:r w:rsidR="005741D4">
        <w:rPr>
          <w:rFonts w:cs="Times New Roman"/>
          <w:color w:val="010000"/>
        </w:rPr>
        <w:t xml:space="preserve"> </w:t>
      </w:r>
      <w:r w:rsidRPr="005741D4">
        <w:rPr>
          <w:rFonts w:cs="Times New Roman"/>
          <w:color w:val="010000"/>
        </w:rPr>
        <w:t>anlaşılmaktadır.</w:t>
      </w:r>
    </w:p>
    <w:p w:rsidR="00E27D79" w:rsidRPr="005741D4" w:rsidRDefault="0020194F" w:rsidP="005741D4">
      <w:pPr>
        <w:pStyle w:val="edf1363590918387"/>
        <w:widowControl/>
        <w:suppressAutoHyphens w:val="0"/>
        <w:spacing w:after="200"/>
        <w:ind w:left="283" w:right="283" w:firstLine="567"/>
        <w:jc w:val="both"/>
        <w:rPr>
          <w:rFonts w:cs="Times New Roman"/>
          <w:color w:val="010000"/>
        </w:rPr>
      </w:pPr>
      <w:r w:rsidRPr="005741D4">
        <w:rPr>
          <w:rFonts w:cs="Times New Roman"/>
          <w:color w:val="010000"/>
        </w:rPr>
        <w:t>21.</w:t>
      </w:r>
      <w:r w:rsidR="005741D4" w:rsidRPr="005741D4">
        <w:rPr>
          <w:rFonts w:cs="Times New Roman"/>
          <w:color w:val="010000"/>
        </w:rPr>
        <w:t xml:space="preserve"> </w:t>
      </w:r>
      <w:r w:rsidRPr="005741D4">
        <w:rPr>
          <w:rFonts w:cs="Times New Roman"/>
          <w:color w:val="010000"/>
        </w:rPr>
        <w:t>Başvurucu açısından önem taşıyan husus, kesin nitelikteki kararla yararlarına bir miktar vekâlet ücreti takdir edilmemesidir. Takdir edilmeyen vekâlet ücretinin; başvurucunun içinde bulunduğu kişisel koşullara göre kendisine ciddi anlamda zarar verdiği ve kendisi için ne denli önemli olduğu hususunda herhangi bir açıklamasının olmadığı da gözetildiğinde başvurucu için önemli bir zarar oluşturduğu kanaatine ulaşılamamıştır (benzer yöndeki</w:t>
      </w:r>
      <w:r w:rsidR="005741D4">
        <w:rPr>
          <w:rFonts w:cs="Times New Roman"/>
          <w:color w:val="010000"/>
        </w:rPr>
        <w:t xml:space="preserve"> </w:t>
      </w:r>
      <w:r w:rsidRPr="005741D4">
        <w:rPr>
          <w:rFonts w:cs="Times New Roman"/>
          <w:color w:val="010000"/>
        </w:rPr>
        <w:t xml:space="preserve">değerlendirme için bkz. </w:t>
      </w:r>
      <w:proofErr w:type="spellStart"/>
      <w:r w:rsidRPr="005741D4">
        <w:rPr>
          <w:rFonts w:cs="Times New Roman"/>
          <w:i/>
          <w:iCs/>
          <w:color w:val="010000"/>
        </w:rPr>
        <w:t>Daygınat</w:t>
      </w:r>
      <w:proofErr w:type="spellEnd"/>
      <w:r w:rsidRPr="005741D4">
        <w:rPr>
          <w:rFonts w:cs="Times New Roman"/>
          <w:i/>
          <w:iCs/>
          <w:color w:val="010000"/>
        </w:rPr>
        <w:t xml:space="preserve"> </w:t>
      </w:r>
      <w:proofErr w:type="spellStart"/>
      <w:r w:rsidRPr="005741D4">
        <w:rPr>
          <w:rFonts w:cs="Times New Roman"/>
          <w:i/>
          <w:iCs/>
          <w:color w:val="010000"/>
        </w:rPr>
        <w:t>Magomedzhamılova</w:t>
      </w:r>
      <w:proofErr w:type="spellEnd"/>
      <w:r w:rsidRPr="005741D4">
        <w:rPr>
          <w:rFonts w:cs="Times New Roman"/>
          <w:i/>
          <w:iCs/>
          <w:color w:val="010000"/>
        </w:rPr>
        <w:t xml:space="preserve"> ve diğerleri,</w:t>
      </w:r>
      <w:r w:rsidRPr="005741D4">
        <w:rPr>
          <w:rFonts w:cs="Times New Roman"/>
          <w:color w:val="010000"/>
        </w:rPr>
        <w:t xml:space="preserve"> B. No:</w:t>
      </w:r>
      <w:r w:rsidRPr="005741D4">
        <w:rPr>
          <w:rFonts w:cs="Times New Roman"/>
          <w:i/>
          <w:iCs/>
          <w:color w:val="010000"/>
        </w:rPr>
        <w:t xml:space="preserve"> </w:t>
      </w:r>
      <w:r w:rsidRPr="005741D4">
        <w:rPr>
          <w:rFonts w:cs="Times New Roman"/>
          <w:color w:val="010000"/>
        </w:rPr>
        <w:t>2015/516, 20/3/2019, §§ 33-42).</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22.</w:t>
      </w:r>
      <w:r w:rsidR="005741D4" w:rsidRPr="005741D4">
        <w:rPr>
          <w:color w:val="010000"/>
        </w:rPr>
        <w:t xml:space="preserve"> </w:t>
      </w:r>
      <w:r w:rsidRPr="005741D4">
        <w:rPr>
          <w:color w:val="010000"/>
        </w:rPr>
        <w:t xml:space="preserve">Açıklanan gerekçelerle Anayasa'nın yorumlanması ve uygulanması açısından önem taşımadığı gibi başvurucunun da önemli bir zarara uğramadığı sonucuna varıldığından anayasal ve kişisel önemden yoksun olduğu anlaşılan başvurunun bu kısmının diğer kabul edilebilirlik şartları yönünden incelenmeksizin kabul edilemez olduğuna karar verilmesi gerekir. </w:t>
      </w:r>
    </w:p>
    <w:p w:rsidR="00E27D79" w:rsidRPr="005741D4" w:rsidRDefault="0020194F" w:rsidP="005741D4">
      <w:pPr>
        <w:widowControl/>
        <w:suppressAutoHyphens w:val="0"/>
        <w:spacing w:after="200"/>
        <w:ind w:left="283" w:right="283" w:firstLine="567"/>
        <w:jc w:val="both"/>
        <w:rPr>
          <w:color w:val="010000"/>
        </w:rPr>
      </w:pPr>
      <w:r w:rsidRPr="005741D4">
        <w:rPr>
          <w:b/>
          <w:color w:val="010000"/>
        </w:rPr>
        <w:t>III.</w:t>
      </w:r>
      <w:r w:rsidR="005741D4" w:rsidRPr="005741D4">
        <w:rPr>
          <w:color w:val="010000"/>
        </w:rPr>
        <w:t xml:space="preserve"> </w:t>
      </w:r>
      <w:r w:rsidRPr="005741D4">
        <w:rPr>
          <w:b/>
          <w:color w:val="010000"/>
        </w:rPr>
        <w:t>HÜKÜM</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Açıklanan gerekçelerle;</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A.</w:t>
      </w:r>
      <w:r w:rsidR="005741D4" w:rsidRPr="005741D4">
        <w:rPr>
          <w:color w:val="010000"/>
        </w:rPr>
        <w:t xml:space="preserve"> </w:t>
      </w:r>
      <w:r w:rsidRPr="005741D4">
        <w:rPr>
          <w:color w:val="010000"/>
        </w:rPr>
        <w:t xml:space="preserve">1. Suçta ve cezada kanunilik ilkesinin ihlal edildiğine ilişkin iddianın </w:t>
      </w:r>
      <w:r w:rsidRPr="005741D4">
        <w:rPr>
          <w:i/>
          <w:iCs/>
          <w:color w:val="010000"/>
        </w:rPr>
        <w:t>ihlalin ve sonuçlarının ortadan kalkmış olması</w:t>
      </w:r>
      <w:r w:rsidRPr="005741D4">
        <w:rPr>
          <w:color w:val="010000"/>
        </w:rPr>
        <w:t xml:space="preserve"> nedeniyle DÜŞMESİNE,</w:t>
      </w:r>
    </w:p>
    <w:p w:rsidR="00E27D79" w:rsidRPr="005741D4" w:rsidRDefault="0020194F" w:rsidP="005741D4">
      <w:pPr>
        <w:widowControl/>
        <w:suppressAutoHyphens w:val="0"/>
        <w:spacing w:after="200"/>
        <w:ind w:left="283" w:right="283" w:firstLine="850"/>
        <w:jc w:val="both"/>
        <w:rPr>
          <w:color w:val="010000"/>
        </w:rPr>
      </w:pPr>
      <w:r w:rsidRPr="005741D4">
        <w:rPr>
          <w:color w:val="010000"/>
        </w:rPr>
        <w:t>2. Mülkiy</w:t>
      </w:r>
      <w:bookmarkStart w:id="0" w:name="_GoBack"/>
      <w:bookmarkEnd w:id="0"/>
      <w:r w:rsidRPr="005741D4">
        <w:rPr>
          <w:color w:val="010000"/>
        </w:rPr>
        <w:t xml:space="preserve">et hakkının ihlal edildiğine ilişkin iddianın </w:t>
      </w:r>
      <w:r w:rsidRPr="005741D4">
        <w:rPr>
          <w:i/>
          <w:iCs/>
          <w:color w:val="010000"/>
        </w:rPr>
        <w:t xml:space="preserve">anayasal ve kişisel önemden yoksun olması </w:t>
      </w:r>
      <w:r w:rsidRPr="005741D4">
        <w:rPr>
          <w:color w:val="010000"/>
        </w:rPr>
        <w:t>nedeniyle KABUL EDİLEMEZ OLDUĞUNA,</w:t>
      </w:r>
    </w:p>
    <w:p w:rsidR="00E27D79" w:rsidRPr="005741D4" w:rsidRDefault="0020194F" w:rsidP="005741D4">
      <w:pPr>
        <w:widowControl/>
        <w:suppressAutoHyphens w:val="0"/>
        <w:spacing w:after="200"/>
        <w:ind w:left="283" w:right="283" w:firstLine="567"/>
        <w:jc w:val="both"/>
        <w:rPr>
          <w:color w:val="010000"/>
        </w:rPr>
      </w:pPr>
      <w:r w:rsidRPr="005741D4">
        <w:rPr>
          <w:color w:val="010000"/>
        </w:rPr>
        <w:t>B.</w:t>
      </w:r>
      <w:r w:rsidR="005741D4" w:rsidRPr="005741D4">
        <w:rPr>
          <w:color w:val="010000"/>
        </w:rPr>
        <w:t xml:space="preserve"> </w:t>
      </w:r>
      <w:r w:rsidRPr="005741D4">
        <w:rPr>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 23/10/2024 tarihinde OYBİRLİĞİYLE karar verildi.</w:t>
      </w:r>
    </w:p>
    <w:sectPr w:rsidR="00E27D79" w:rsidRPr="005741D4" w:rsidSect="005741D4">
      <w:pgSz w:w="11906" w:h="16838"/>
      <w:pgMar w:top="976" w:right="1417" w:bottom="1400" w:left="1417" w:header="400" w:footer="708"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7D79" w:rsidRDefault="0020194F">
      <w:r>
        <w:separator/>
      </w:r>
    </w:p>
  </w:endnote>
  <w:endnote w:type="continuationSeparator" w:id="0">
    <w:p w:rsidR="00E27D79" w:rsidRDefault="00201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7D79" w:rsidRDefault="0020194F">
      <w:r>
        <w:separator/>
      </w:r>
    </w:p>
  </w:footnote>
  <w:footnote w:type="continuationSeparator" w:id="0">
    <w:p w:rsidR="00E27D79" w:rsidRDefault="002019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7D79" w:rsidRDefault="0020194F" w:rsidP="005741D4">
    <w:pPr>
      <w:pStyle w:val="stBilgi"/>
      <w:tabs>
        <w:tab w:val="left" w:pos="2040"/>
      </w:tabs>
      <w:spacing w:line="288" w:lineRule="exact"/>
    </w:pPr>
    <w:r>
      <w:t>Başvuru Numarası</w:t>
    </w:r>
    <w:r w:rsidR="005741D4">
      <w:tab/>
    </w:r>
    <w:r>
      <w:t>: 2021/37021</w:t>
    </w:r>
  </w:p>
  <w:p w:rsidR="00E27D79" w:rsidRDefault="0020194F">
    <w:pPr>
      <w:pStyle w:val="stBilgi"/>
      <w:tabs>
        <w:tab w:val="left" w:pos="2040"/>
      </w:tabs>
      <w:spacing w:line="288" w:lineRule="exact"/>
    </w:pPr>
    <w:r>
      <w:t>Karar Tarihi</w:t>
    </w:r>
    <w:r>
      <w:tab/>
      <w:t>: 23/10/2024</w:t>
    </w:r>
  </w:p>
  <w:p w:rsidR="005741D4" w:rsidRDefault="005741D4">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94F"/>
    <w:rsid w:val="0020194F"/>
    <w:rsid w:val="005741D4"/>
    <w:rsid w:val="00E27D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6618D8E5"/>
  <w15:chartTrackingRefBased/>
  <w15:docId w15:val="{FA77C252-CB4A-4B9F-B65E-FBD199B68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49972630543">
    <w:name w:val="edf_1449972630543"/>
    <w:pPr>
      <w:widowControl w:val="0"/>
      <w:suppressAutoHyphens/>
    </w:pPr>
    <w:rPr>
      <w:rFonts w:eastAsia="Andale Sans UI" w:cs="Tahoma"/>
      <w:kern w:val="1"/>
      <w:sz w:val="24"/>
      <w:szCs w:val="24"/>
      <w:lang w:eastAsia="fa-IR" w:bidi="fa-IR"/>
    </w:rPr>
  </w:style>
  <w:style w:type="paragraph" w:customStyle="1" w:styleId="edf1449145527867">
    <w:name w:val="edf_1449145527867"/>
    <w:pPr>
      <w:widowControl w:val="0"/>
      <w:suppressAutoHyphens/>
    </w:pPr>
    <w:rPr>
      <w:rFonts w:eastAsia="Andale Sans UI" w:cs="Tahoma"/>
      <w:kern w:val="1"/>
      <w:sz w:val="24"/>
      <w:szCs w:val="24"/>
      <w:lang w:eastAsia="fa-IR" w:bidi="fa-IR"/>
    </w:rPr>
  </w:style>
  <w:style w:type="paragraph" w:customStyle="1" w:styleId="edf1441378653715">
    <w:name w:val="edf_1441378653715"/>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9864027710">
    <w:name w:val="edf_1429864027710"/>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50279197865">
    <w:name w:val="edf_14502791978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24434631881">
    <w:name w:val="edf_1424434631881"/>
    <w:pPr>
      <w:widowControl w:val="0"/>
      <w:suppressAutoHyphens/>
    </w:pPr>
    <w:rPr>
      <w:rFonts w:eastAsia="Andale Sans UI" w:cs="Tahoma"/>
      <w:kern w:val="1"/>
      <w:sz w:val="24"/>
      <w:szCs w:val="24"/>
      <w:lang w:eastAsia="fa-IR" w:bidi="fa-IR"/>
    </w:rPr>
  </w:style>
  <w:style w:type="paragraph" w:customStyle="1" w:styleId="edf1416493080820">
    <w:name w:val="edf_1416493080820"/>
    <w:pPr>
      <w:widowControl w:val="0"/>
      <w:suppressAutoHyphens/>
    </w:pPr>
    <w:rPr>
      <w:rFonts w:eastAsia="Andale Sans UI" w:cs="Tahoma"/>
      <w:kern w:val="1"/>
      <w:sz w:val="24"/>
      <w:szCs w:val="24"/>
      <w:lang w:eastAsia="fa-IR" w:bidi="fa-IR"/>
    </w:rPr>
  </w:style>
  <w:style w:type="paragraph" w:customStyle="1" w:styleId="edf1436528573148">
    <w:name w:val="edf_1436528573148"/>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441378653699">
    <w:name w:val="edf_1441378653699"/>
    <w:pPr>
      <w:widowControl w:val="0"/>
      <w:suppressAutoHyphens/>
    </w:pPr>
    <w:rPr>
      <w:rFonts w:eastAsia="Andale Sans UI" w:cs="Tahoma"/>
      <w:kern w:val="1"/>
      <w:sz w:val="24"/>
      <w:szCs w:val="24"/>
      <w:lang w:eastAsia="fa-IR" w:bidi="fa-IR"/>
    </w:rPr>
  </w:style>
  <w:style w:type="paragraph" w:customStyle="1" w:styleId="edf1444134850824">
    <w:name w:val="edf_1444134850824"/>
    <w:pPr>
      <w:widowControl w:val="0"/>
      <w:suppressAutoHyphens/>
    </w:pPr>
    <w:rPr>
      <w:rFonts w:eastAsia="Andale Sans UI" w:cs="Tahoma"/>
      <w:kern w:val="1"/>
      <w:sz w:val="24"/>
      <w:szCs w:val="24"/>
      <w:lang w:eastAsia="fa-IR" w:bidi="fa-IR"/>
    </w:rPr>
  </w:style>
  <w:style w:type="paragraph" w:customStyle="1" w:styleId="edf1426775879386">
    <w:name w:val="edf_1426775879386"/>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basedOn w:val="Normal"/>
    <w:link w:val="AltBilgiChar"/>
    <w:uiPriority w:val="99"/>
    <w:unhideWhenUsed/>
    <w:rsid w:val="005741D4"/>
    <w:pPr>
      <w:tabs>
        <w:tab w:val="center" w:pos="4536"/>
        <w:tab w:val="right" w:pos="9072"/>
      </w:tabs>
    </w:pPr>
  </w:style>
  <w:style w:type="character" w:customStyle="1" w:styleId="AltBilgiChar">
    <w:name w:val="Alt Bilgi Char"/>
    <w:basedOn w:val="VarsaylanParagrafYazTipi"/>
    <w:link w:val="AltBilgi"/>
    <w:uiPriority w:val="99"/>
    <w:rsid w:val="005741D4"/>
    <w:rPr>
      <w:rFonts w:eastAsia="Andale Sans UI"/>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1534</Words>
  <Characters>8749</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2024-12-13T13:05:00Z</dcterms:created>
  <dcterms:modified xsi:type="dcterms:W3CDTF">2024-12-16T07:39:00Z</dcterms:modified>
</cp:coreProperties>
</file>