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612D3C" w:rsidRDefault="00612D3C" w:rsidP="00612D3C">
      <w:pPr>
        <w:widowControl/>
        <w:suppressAutoHyphens w:val="0"/>
        <w:spacing w:after="200"/>
        <w:ind w:left="283" w:right="283" w:firstLine="709"/>
        <w:jc w:val="both"/>
        <w:rPr>
          <w:b/>
          <w:color w:val="010000"/>
          <w:sz w:val="28"/>
        </w:rPr>
      </w:pPr>
    </w:p>
    <w:p w:rsidR="00612D3C" w:rsidRDefault="00612D3C" w:rsidP="00612D3C">
      <w:pPr>
        <w:widowControl/>
        <w:suppressAutoHyphens w:val="0"/>
        <w:spacing w:after="200"/>
        <w:ind w:left="283" w:right="283" w:firstLine="709"/>
        <w:jc w:val="both"/>
        <w:rPr>
          <w:b/>
          <w:color w:val="010000"/>
          <w:sz w:val="28"/>
        </w:rPr>
      </w:pPr>
    </w:p>
    <w:p w:rsidR="00612D3C" w:rsidRDefault="00612D3C" w:rsidP="00612D3C">
      <w:pPr>
        <w:widowControl/>
        <w:suppressAutoHyphens w:val="0"/>
        <w:spacing w:after="200"/>
        <w:ind w:left="283" w:right="283" w:firstLine="709"/>
        <w:jc w:val="both"/>
        <w:rPr>
          <w:b/>
          <w:color w:val="010000"/>
          <w:sz w:val="28"/>
        </w:rPr>
      </w:pPr>
    </w:p>
    <w:p w:rsidR="00612D3C" w:rsidRDefault="00612D3C" w:rsidP="00612D3C">
      <w:pPr>
        <w:widowControl/>
        <w:suppressAutoHyphens w:val="0"/>
        <w:spacing w:after="200"/>
        <w:ind w:left="283" w:right="283" w:firstLine="709"/>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212"/>
      </w:tblGrid>
      <w:tr w:rsidR="00612D3C" w:rsidRPr="00612D3C" w:rsidTr="00612D3C">
        <w:tblPrEx>
          <w:tblCellMar>
            <w:top w:w="0" w:type="dxa"/>
            <w:bottom w:w="0" w:type="dxa"/>
          </w:tblCellMar>
        </w:tblPrEx>
        <w:trPr>
          <w:trHeight w:val="500"/>
          <w:jc w:val="center"/>
        </w:trPr>
        <w:tc>
          <w:tcPr>
            <w:tcW w:w="9212" w:type="dxa"/>
            <w:vAlign w:val="center"/>
          </w:tcPr>
          <w:p w:rsidR="00612D3C" w:rsidRPr="00612D3C" w:rsidRDefault="00612D3C" w:rsidP="00612D3C">
            <w:pPr>
              <w:widowControl/>
              <w:suppressAutoHyphens w:val="0"/>
              <w:spacing w:after="200"/>
              <w:ind w:right="283"/>
              <w:jc w:val="center"/>
              <w:rPr>
                <w:b/>
                <w:color w:val="010000"/>
                <w:sz w:val="28"/>
              </w:rPr>
            </w:pPr>
            <w:r>
              <w:rPr>
                <w:b/>
                <w:color w:val="010000"/>
                <w:sz w:val="28"/>
              </w:rPr>
              <w:t>TÜRKİYE CUMHURİYETİ</w:t>
            </w:r>
          </w:p>
        </w:tc>
      </w:tr>
      <w:tr w:rsidR="00612D3C" w:rsidRPr="00612D3C" w:rsidTr="00612D3C">
        <w:tblPrEx>
          <w:tblCellMar>
            <w:top w:w="0" w:type="dxa"/>
            <w:bottom w:w="0" w:type="dxa"/>
          </w:tblCellMar>
        </w:tblPrEx>
        <w:trPr>
          <w:trHeight w:val="500"/>
          <w:jc w:val="center"/>
        </w:trPr>
        <w:tc>
          <w:tcPr>
            <w:tcW w:w="9212" w:type="dxa"/>
            <w:vAlign w:val="center"/>
          </w:tcPr>
          <w:p w:rsidR="00612D3C" w:rsidRPr="00612D3C" w:rsidRDefault="00612D3C" w:rsidP="00612D3C">
            <w:pPr>
              <w:widowControl/>
              <w:suppressAutoHyphens w:val="0"/>
              <w:spacing w:after="200"/>
              <w:ind w:right="283"/>
              <w:jc w:val="center"/>
              <w:rPr>
                <w:b/>
                <w:color w:val="010000"/>
                <w:sz w:val="32"/>
              </w:rPr>
            </w:pPr>
            <w:r>
              <w:rPr>
                <w:b/>
                <w:color w:val="010000"/>
                <w:sz w:val="32"/>
              </w:rPr>
              <w:t>ANAYASA MAHKEMESİ</w:t>
            </w:r>
          </w:p>
        </w:tc>
      </w:tr>
      <w:tr w:rsidR="00612D3C" w:rsidRPr="00612D3C" w:rsidTr="00612D3C">
        <w:tblPrEx>
          <w:tblCellMar>
            <w:top w:w="0" w:type="dxa"/>
            <w:bottom w:w="0" w:type="dxa"/>
          </w:tblCellMar>
        </w:tblPrEx>
        <w:trPr>
          <w:trHeight w:val="500"/>
          <w:jc w:val="center"/>
        </w:trPr>
        <w:tc>
          <w:tcPr>
            <w:tcW w:w="9212" w:type="dxa"/>
            <w:vAlign w:val="center"/>
          </w:tcPr>
          <w:p w:rsidR="00612D3C" w:rsidRPr="00612D3C" w:rsidRDefault="00612D3C" w:rsidP="00612D3C">
            <w:pPr>
              <w:widowControl/>
              <w:suppressAutoHyphens w:val="0"/>
              <w:spacing w:after="200"/>
              <w:ind w:right="283"/>
              <w:jc w:val="center"/>
              <w:rPr>
                <w:b/>
                <w:color w:val="010000"/>
              </w:rPr>
            </w:pPr>
          </w:p>
        </w:tc>
      </w:tr>
      <w:tr w:rsidR="00612D3C" w:rsidRPr="00612D3C" w:rsidTr="00612D3C">
        <w:tblPrEx>
          <w:tblCellMar>
            <w:top w:w="0" w:type="dxa"/>
            <w:bottom w:w="0" w:type="dxa"/>
          </w:tblCellMar>
        </w:tblPrEx>
        <w:trPr>
          <w:trHeight w:val="500"/>
          <w:jc w:val="center"/>
        </w:trPr>
        <w:tc>
          <w:tcPr>
            <w:tcW w:w="9212" w:type="dxa"/>
            <w:vAlign w:val="center"/>
          </w:tcPr>
          <w:p w:rsidR="00612D3C" w:rsidRPr="00612D3C" w:rsidRDefault="00612D3C" w:rsidP="00612D3C">
            <w:pPr>
              <w:widowControl/>
              <w:suppressAutoHyphens w:val="0"/>
              <w:spacing w:after="200"/>
              <w:ind w:right="283"/>
              <w:jc w:val="center"/>
              <w:rPr>
                <w:b/>
                <w:color w:val="010000"/>
              </w:rPr>
            </w:pPr>
          </w:p>
        </w:tc>
      </w:tr>
      <w:tr w:rsidR="00612D3C" w:rsidRPr="00612D3C" w:rsidTr="00612D3C">
        <w:tblPrEx>
          <w:tblCellMar>
            <w:top w:w="0" w:type="dxa"/>
            <w:bottom w:w="0" w:type="dxa"/>
          </w:tblCellMar>
        </w:tblPrEx>
        <w:trPr>
          <w:trHeight w:val="500"/>
          <w:jc w:val="center"/>
        </w:trPr>
        <w:tc>
          <w:tcPr>
            <w:tcW w:w="9212" w:type="dxa"/>
            <w:vAlign w:val="center"/>
          </w:tcPr>
          <w:p w:rsidR="00612D3C" w:rsidRPr="00612D3C" w:rsidRDefault="00612D3C" w:rsidP="00612D3C">
            <w:pPr>
              <w:widowControl/>
              <w:suppressAutoHyphens w:val="0"/>
              <w:spacing w:after="200"/>
              <w:ind w:right="283"/>
              <w:jc w:val="center"/>
              <w:rPr>
                <w:b/>
                <w:color w:val="010000"/>
              </w:rPr>
            </w:pPr>
            <w:r>
              <w:rPr>
                <w:b/>
                <w:color w:val="010000"/>
              </w:rPr>
              <w:t>İKİNCİ BÖLÜM</w:t>
            </w:r>
          </w:p>
        </w:tc>
      </w:tr>
      <w:tr w:rsidR="00612D3C" w:rsidRPr="00612D3C" w:rsidTr="00612D3C">
        <w:tblPrEx>
          <w:tblCellMar>
            <w:top w:w="0" w:type="dxa"/>
            <w:bottom w:w="0" w:type="dxa"/>
          </w:tblCellMar>
        </w:tblPrEx>
        <w:trPr>
          <w:trHeight w:val="500"/>
          <w:jc w:val="center"/>
        </w:trPr>
        <w:tc>
          <w:tcPr>
            <w:tcW w:w="9212" w:type="dxa"/>
            <w:vAlign w:val="center"/>
          </w:tcPr>
          <w:p w:rsidR="00612D3C" w:rsidRPr="00612D3C" w:rsidRDefault="00612D3C" w:rsidP="00612D3C">
            <w:pPr>
              <w:widowControl/>
              <w:suppressAutoHyphens w:val="0"/>
              <w:spacing w:after="200"/>
              <w:ind w:right="283"/>
              <w:jc w:val="center"/>
              <w:rPr>
                <w:b/>
                <w:color w:val="010000"/>
              </w:rPr>
            </w:pPr>
          </w:p>
        </w:tc>
      </w:tr>
      <w:tr w:rsidR="00612D3C" w:rsidRPr="00612D3C" w:rsidTr="00612D3C">
        <w:tblPrEx>
          <w:tblCellMar>
            <w:top w:w="0" w:type="dxa"/>
            <w:bottom w:w="0" w:type="dxa"/>
          </w:tblCellMar>
        </w:tblPrEx>
        <w:trPr>
          <w:trHeight w:val="500"/>
          <w:jc w:val="center"/>
        </w:trPr>
        <w:tc>
          <w:tcPr>
            <w:tcW w:w="9212" w:type="dxa"/>
            <w:vAlign w:val="center"/>
          </w:tcPr>
          <w:p w:rsidR="00612D3C" w:rsidRPr="00612D3C" w:rsidRDefault="00612D3C" w:rsidP="00612D3C">
            <w:pPr>
              <w:widowControl/>
              <w:suppressAutoHyphens w:val="0"/>
              <w:spacing w:after="200"/>
              <w:ind w:right="283"/>
              <w:jc w:val="center"/>
              <w:rPr>
                <w:b/>
                <w:color w:val="010000"/>
              </w:rPr>
            </w:pPr>
            <w:r>
              <w:rPr>
                <w:b/>
                <w:color w:val="010000"/>
              </w:rPr>
              <w:t>KARAR</w:t>
            </w:r>
          </w:p>
        </w:tc>
      </w:tr>
      <w:tr w:rsidR="00612D3C" w:rsidRPr="00612D3C" w:rsidTr="00612D3C">
        <w:tblPrEx>
          <w:tblCellMar>
            <w:top w:w="0" w:type="dxa"/>
            <w:bottom w:w="0" w:type="dxa"/>
          </w:tblCellMar>
        </w:tblPrEx>
        <w:trPr>
          <w:trHeight w:val="500"/>
          <w:jc w:val="center"/>
        </w:trPr>
        <w:tc>
          <w:tcPr>
            <w:tcW w:w="9212" w:type="dxa"/>
            <w:vAlign w:val="center"/>
          </w:tcPr>
          <w:p w:rsidR="00612D3C" w:rsidRPr="00612D3C" w:rsidRDefault="00612D3C" w:rsidP="00612D3C">
            <w:pPr>
              <w:widowControl/>
              <w:suppressAutoHyphens w:val="0"/>
              <w:spacing w:after="200"/>
              <w:ind w:right="283"/>
              <w:jc w:val="center"/>
              <w:rPr>
                <w:b/>
                <w:color w:val="010000"/>
              </w:rPr>
            </w:pPr>
          </w:p>
        </w:tc>
      </w:tr>
      <w:tr w:rsidR="00612D3C" w:rsidRPr="00612D3C" w:rsidTr="00612D3C">
        <w:tblPrEx>
          <w:tblCellMar>
            <w:top w:w="0" w:type="dxa"/>
            <w:bottom w:w="0" w:type="dxa"/>
          </w:tblCellMar>
        </w:tblPrEx>
        <w:trPr>
          <w:trHeight w:val="500"/>
          <w:jc w:val="center"/>
        </w:trPr>
        <w:tc>
          <w:tcPr>
            <w:tcW w:w="9212" w:type="dxa"/>
            <w:vAlign w:val="center"/>
          </w:tcPr>
          <w:p w:rsidR="00612D3C" w:rsidRPr="00612D3C" w:rsidRDefault="00612D3C" w:rsidP="00612D3C">
            <w:pPr>
              <w:widowControl/>
              <w:suppressAutoHyphens w:val="0"/>
              <w:spacing w:after="200"/>
              <w:ind w:right="283"/>
              <w:jc w:val="center"/>
              <w:rPr>
                <w:b/>
                <w:color w:val="010000"/>
              </w:rPr>
            </w:pPr>
            <w:r>
              <w:rPr>
                <w:b/>
                <w:color w:val="010000"/>
              </w:rPr>
              <w:t>AYŞE ÇALIM VE DİĞERLERİ BAŞVURUSU</w:t>
            </w:r>
          </w:p>
        </w:tc>
      </w:tr>
      <w:tr w:rsidR="00612D3C" w:rsidRPr="00612D3C" w:rsidTr="00612D3C">
        <w:tblPrEx>
          <w:tblCellMar>
            <w:top w:w="0" w:type="dxa"/>
            <w:bottom w:w="0" w:type="dxa"/>
          </w:tblCellMar>
        </w:tblPrEx>
        <w:trPr>
          <w:trHeight w:val="500"/>
          <w:jc w:val="center"/>
        </w:trPr>
        <w:tc>
          <w:tcPr>
            <w:tcW w:w="9212" w:type="dxa"/>
            <w:vAlign w:val="center"/>
          </w:tcPr>
          <w:p w:rsidR="00612D3C" w:rsidRPr="00612D3C" w:rsidRDefault="00612D3C" w:rsidP="00612D3C">
            <w:pPr>
              <w:widowControl/>
              <w:suppressAutoHyphens w:val="0"/>
              <w:spacing w:after="200"/>
              <w:ind w:right="283"/>
              <w:jc w:val="center"/>
              <w:rPr>
                <w:color w:val="010000"/>
              </w:rPr>
            </w:pPr>
            <w:r>
              <w:rPr>
                <w:color w:val="010000"/>
              </w:rPr>
              <w:t>(Başvuru Numarası: 2021/5138)</w:t>
            </w:r>
          </w:p>
        </w:tc>
      </w:tr>
      <w:tr w:rsidR="00612D3C" w:rsidRPr="00612D3C" w:rsidTr="00612D3C">
        <w:tblPrEx>
          <w:tblCellMar>
            <w:top w:w="0" w:type="dxa"/>
            <w:bottom w:w="0" w:type="dxa"/>
          </w:tblCellMar>
        </w:tblPrEx>
        <w:trPr>
          <w:trHeight w:val="500"/>
          <w:jc w:val="center"/>
        </w:trPr>
        <w:tc>
          <w:tcPr>
            <w:tcW w:w="9212" w:type="dxa"/>
            <w:vAlign w:val="center"/>
          </w:tcPr>
          <w:p w:rsidR="00612D3C" w:rsidRPr="00612D3C" w:rsidRDefault="00612D3C" w:rsidP="00612D3C">
            <w:pPr>
              <w:widowControl/>
              <w:suppressAutoHyphens w:val="0"/>
              <w:spacing w:after="200"/>
              <w:ind w:right="283"/>
              <w:jc w:val="center"/>
              <w:rPr>
                <w:b/>
                <w:color w:val="010000"/>
              </w:rPr>
            </w:pPr>
          </w:p>
        </w:tc>
      </w:tr>
      <w:tr w:rsidR="00612D3C" w:rsidRPr="00612D3C" w:rsidTr="00612D3C">
        <w:tblPrEx>
          <w:tblCellMar>
            <w:top w:w="0" w:type="dxa"/>
            <w:bottom w:w="0" w:type="dxa"/>
          </w:tblCellMar>
        </w:tblPrEx>
        <w:trPr>
          <w:trHeight w:val="500"/>
          <w:jc w:val="center"/>
        </w:trPr>
        <w:tc>
          <w:tcPr>
            <w:tcW w:w="9212" w:type="dxa"/>
            <w:vAlign w:val="center"/>
          </w:tcPr>
          <w:p w:rsidR="00612D3C" w:rsidRPr="00612D3C" w:rsidRDefault="00612D3C" w:rsidP="00612D3C">
            <w:pPr>
              <w:widowControl/>
              <w:suppressAutoHyphens w:val="0"/>
              <w:spacing w:after="200"/>
              <w:ind w:right="283"/>
              <w:jc w:val="center"/>
              <w:rPr>
                <w:color w:val="010000"/>
              </w:rPr>
            </w:pPr>
            <w:r>
              <w:rPr>
                <w:color w:val="010000"/>
              </w:rPr>
              <w:t>Karar Tarihi: 4/2/2025</w:t>
            </w:r>
          </w:p>
        </w:tc>
      </w:tr>
      <w:tr w:rsidR="00612D3C" w:rsidRPr="00612D3C" w:rsidTr="00612D3C">
        <w:tblPrEx>
          <w:tblCellMar>
            <w:top w:w="0" w:type="dxa"/>
            <w:bottom w:w="0" w:type="dxa"/>
          </w:tblCellMar>
        </w:tblPrEx>
        <w:trPr>
          <w:trHeight w:val="500"/>
          <w:jc w:val="center"/>
        </w:trPr>
        <w:tc>
          <w:tcPr>
            <w:tcW w:w="9212" w:type="dxa"/>
            <w:vAlign w:val="center"/>
          </w:tcPr>
          <w:p w:rsidR="00612D3C" w:rsidRPr="00612D3C" w:rsidRDefault="00612D3C" w:rsidP="00612D3C">
            <w:pPr>
              <w:widowControl/>
              <w:suppressAutoHyphens w:val="0"/>
              <w:spacing w:after="200"/>
              <w:ind w:right="283"/>
              <w:jc w:val="center"/>
              <w:rPr>
                <w:color w:val="010000"/>
              </w:rPr>
            </w:pPr>
          </w:p>
        </w:tc>
      </w:tr>
      <w:tr w:rsidR="00612D3C" w:rsidRPr="00612D3C" w:rsidTr="00612D3C">
        <w:tblPrEx>
          <w:tblCellMar>
            <w:top w:w="0" w:type="dxa"/>
            <w:bottom w:w="0" w:type="dxa"/>
          </w:tblCellMar>
        </w:tblPrEx>
        <w:trPr>
          <w:trHeight w:val="500"/>
          <w:jc w:val="center"/>
        </w:trPr>
        <w:tc>
          <w:tcPr>
            <w:tcW w:w="9212" w:type="dxa"/>
            <w:vAlign w:val="center"/>
          </w:tcPr>
          <w:p w:rsidR="00612D3C" w:rsidRPr="00612D3C" w:rsidRDefault="00612D3C" w:rsidP="00612D3C">
            <w:pPr>
              <w:widowControl/>
              <w:suppressAutoHyphens w:val="0"/>
              <w:spacing w:after="200"/>
              <w:ind w:right="283"/>
              <w:jc w:val="center"/>
              <w:rPr>
                <w:b/>
                <w:color w:val="010000"/>
              </w:rPr>
            </w:pPr>
          </w:p>
        </w:tc>
      </w:tr>
      <w:tr w:rsidR="00612D3C" w:rsidRPr="00612D3C" w:rsidTr="00612D3C">
        <w:tblPrEx>
          <w:tblCellMar>
            <w:top w:w="0" w:type="dxa"/>
            <w:bottom w:w="0" w:type="dxa"/>
          </w:tblCellMar>
        </w:tblPrEx>
        <w:trPr>
          <w:trHeight w:val="500"/>
          <w:jc w:val="center"/>
        </w:trPr>
        <w:tc>
          <w:tcPr>
            <w:tcW w:w="9212" w:type="dxa"/>
            <w:vAlign w:val="center"/>
          </w:tcPr>
          <w:p w:rsidR="00612D3C" w:rsidRPr="00612D3C" w:rsidRDefault="00612D3C" w:rsidP="00612D3C">
            <w:pPr>
              <w:widowControl/>
              <w:suppressAutoHyphens w:val="0"/>
              <w:spacing w:after="200"/>
              <w:ind w:right="283"/>
              <w:jc w:val="center"/>
              <w:rPr>
                <w:b/>
                <w:color w:val="010000"/>
              </w:rPr>
            </w:pPr>
          </w:p>
        </w:tc>
      </w:tr>
      <w:tr w:rsidR="00612D3C" w:rsidRPr="00612D3C" w:rsidTr="00612D3C">
        <w:tblPrEx>
          <w:tblCellMar>
            <w:top w:w="0" w:type="dxa"/>
            <w:bottom w:w="0" w:type="dxa"/>
          </w:tblCellMar>
        </w:tblPrEx>
        <w:trPr>
          <w:trHeight w:val="500"/>
          <w:jc w:val="center"/>
        </w:trPr>
        <w:tc>
          <w:tcPr>
            <w:tcW w:w="9212" w:type="dxa"/>
            <w:vAlign w:val="center"/>
          </w:tcPr>
          <w:p w:rsidR="00612D3C" w:rsidRPr="00612D3C" w:rsidRDefault="00612D3C" w:rsidP="00612D3C">
            <w:pPr>
              <w:widowControl/>
              <w:suppressAutoHyphens w:val="0"/>
              <w:spacing w:after="200"/>
              <w:ind w:right="283"/>
              <w:jc w:val="center"/>
              <w:rPr>
                <w:b/>
                <w:color w:val="010000"/>
              </w:rPr>
            </w:pPr>
          </w:p>
        </w:tc>
      </w:tr>
      <w:tr w:rsidR="00612D3C" w:rsidRPr="00612D3C" w:rsidTr="00612D3C">
        <w:tblPrEx>
          <w:tblCellMar>
            <w:top w:w="0" w:type="dxa"/>
            <w:bottom w:w="0" w:type="dxa"/>
          </w:tblCellMar>
        </w:tblPrEx>
        <w:trPr>
          <w:trHeight w:val="500"/>
          <w:jc w:val="center"/>
        </w:trPr>
        <w:tc>
          <w:tcPr>
            <w:tcW w:w="9212" w:type="dxa"/>
            <w:vAlign w:val="center"/>
          </w:tcPr>
          <w:p w:rsidR="00612D3C" w:rsidRPr="00612D3C" w:rsidRDefault="00612D3C" w:rsidP="00612D3C">
            <w:pPr>
              <w:widowControl/>
              <w:suppressAutoHyphens w:val="0"/>
              <w:spacing w:after="200"/>
              <w:ind w:right="283"/>
              <w:jc w:val="center"/>
              <w:rPr>
                <w:b/>
                <w:color w:val="010000"/>
              </w:rPr>
            </w:pPr>
          </w:p>
        </w:tc>
      </w:tr>
    </w:tbl>
    <w:p w:rsidR="00612D3C" w:rsidRDefault="00612D3C" w:rsidP="00612D3C">
      <w:pPr>
        <w:widowControl/>
        <w:suppressAutoHyphens w:val="0"/>
        <w:spacing w:after="200"/>
        <w:ind w:left="283" w:right="283" w:firstLine="709"/>
        <w:jc w:val="both"/>
        <w:rPr>
          <w:b/>
          <w:color w:val="010000"/>
        </w:rPr>
        <w:sectPr w:rsidR="00612D3C" w:rsidSect="00612D3C">
          <w:headerReference w:type="default" r:id="rId6"/>
          <w:footerReference w:type="default" r:id="rId7"/>
          <w:pgSz w:w="11906" w:h="16838"/>
          <w:pgMar w:top="976" w:right="1417" w:bottom="941" w:left="1417" w:header="400" w:footer="400" w:gutter="0"/>
          <w:cols w:space="708"/>
          <w:titlePg/>
          <w:docGrid w:linePitch="600" w:charSpace="32768"/>
        </w:sectPr>
      </w:pPr>
    </w:p>
    <w:p w:rsidR="00BF6DEF" w:rsidRPr="00612D3C" w:rsidRDefault="00BF6DEF" w:rsidP="00612D3C">
      <w:pPr>
        <w:widowControl/>
        <w:suppressAutoHyphens w:val="0"/>
        <w:spacing w:after="200"/>
        <w:ind w:left="283" w:right="283" w:firstLine="1"/>
        <w:jc w:val="center"/>
        <w:rPr>
          <w:color w:val="010000"/>
        </w:rPr>
      </w:pPr>
      <w:r w:rsidRPr="00612D3C">
        <w:rPr>
          <w:b/>
          <w:color w:val="010000"/>
        </w:rPr>
        <w:t>İKİNCİ BÖLÜM</w:t>
      </w:r>
    </w:p>
    <w:p w:rsidR="00BF6DEF" w:rsidRPr="00612D3C" w:rsidRDefault="00BF6DEF" w:rsidP="00612D3C">
      <w:pPr>
        <w:widowControl/>
        <w:suppressAutoHyphens w:val="0"/>
        <w:spacing w:after="200"/>
        <w:ind w:left="283" w:right="283" w:firstLine="1"/>
        <w:jc w:val="center"/>
        <w:rPr>
          <w:color w:val="010000"/>
        </w:rPr>
      </w:pPr>
      <w:r w:rsidRPr="00612D3C">
        <w:rPr>
          <w:b/>
          <w:color w:val="010000"/>
        </w:rPr>
        <w:t>KARAR</w:t>
      </w:r>
    </w:p>
    <w:p w:rsidR="00612D3C" w:rsidRDefault="00612D3C" w:rsidP="00612D3C">
      <w:pPr>
        <w:widowControl/>
        <w:suppressAutoHyphens w:val="0"/>
        <w:spacing w:after="200"/>
        <w:ind w:left="283" w:right="283" w:firstLine="709"/>
        <w:jc w:val="both"/>
        <w:rPr>
          <w:b/>
          <w:color w:val="010000"/>
        </w:rPr>
      </w:pPr>
    </w:p>
    <w:tbl>
      <w:tblPr>
        <w:tblW w:w="12600" w:type="dxa"/>
        <w:tblInd w:w="800" w:type="dxa"/>
        <w:tblLayout w:type="fixed"/>
        <w:tblCellMar>
          <w:left w:w="70" w:type="dxa"/>
          <w:right w:w="70" w:type="dxa"/>
        </w:tblCellMar>
        <w:tblLook w:val="0000" w:firstRow="0" w:lastRow="0" w:firstColumn="0" w:lastColumn="0" w:noHBand="0" w:noVBand="0"/>
      </w:tblPr>
      <w:tblGrid>
        <w:gridCol w:w="2400"/>
        <w:gridCol w:w="200"/>
        <w:gridCol w:w="10000"/>
      </w:tblGrid>
      <w:tr w:rsidR="00612D3C" w:rsidRPr="00612D3C" w:rsidTr="00612D3C">
        <w:tblPrEx>
          <w:tblCellMar>
            <w:top w:w="0" w:type="dxa"/>
            <w:bottom w:w="0" w:type="dxa"/>
          </w:tblCellMar>
        </w:tblPrEx>
        <w:trPr>
          <w:trHeight w:val="454"/>
        </w:trPr>
        <w:tc>
          <w:tcPr>
            <w:tcW w:w="2400" w:type="dxa"/>
          </w:tcPr>
          <w:p w:rsidR="00612D3C" w:rsidRPr="00612D3C" w:rsidRDefault="00612D3C" w:rsidP="00612D3C">
            <w:pPr>
              <w:widowControl/>
              <w:suppressAutoHyphens w:val="0"/>
              <w:rPr>
                <w:b/>
                <w:color w:val="010000"/>
              </w:rPr>
            </w:pPr>
            <w:r w:rsidRPr="00612D3C">
              <w:rPr>
                <w:b/>
                <w:color w:val="010000"/>
              </w:rPr>
              <w:t>Başkan</w:t>
            </w:r>
          </w:p>
        </w:tc>
        <w:tc>
          <w:tcPr>
            <w:tcW w:w="200" w:type="dxa"/>
          </w:tcPr>
          <w:p w:rsidR="00612D3C" w:rsidRPr="00612D3C" w:rsidRDefault="00612D3C" w:rsidP="00612D3C">
            <w:pPr>
              <w:widowControl/>
              <w:suppressAutoHyphens w:val="0"/>
              <w:rPr>
                <w:b/>
                <w:color w:val="010000"/>
              </w:rPr>
            </w:pPr>
            <w:r w:rsidRPr="00612D3C">
              <w:rPr>
                <w:b/>
                <w:color w:val="010000"/>
              </w:rPr>
              <w:t>:</w:t>
            </w:r>
          </w:p>
        </w:tc>
        <w:tc>
          <w:tcPr>
            <w:tcW w:w="10000" w:type="dxa"/>
          </w:tcPr>
          <w:p w:rsidR="00612D3C" w:rsidRPr="00612D3C" w:rsidRDefault="00612D3C" w:rsidP="00612D3C">
            <w:pPr>
              <w:widowControl/>
              <w:suppressAutoHyphens w:val="0"/>
              <w:rPr>
                <w:color w:val="010000"/>
              </w:rPr>
            </w:pPr>
            <w:r w:rsidRPr="00612D3C">
              <w:rPr>
                <w:color w:val="010000"/>
              </w:rPr>
              <w:t>Basri BAĞCI</w:t>
            </w:r>
          </w:p>
        </w:tc>
      </w:tr>
      <w:tr w:rsidR="00612D3C" w:rsidRPr="00612D3C" w:rsidTr="00612D3C">
        <w:tblPrEx>
          <w:tblCellMar>
            <w:top w:w="0" w:type="dxa"/>
            <w:bottom w:w="0" w:type="dxa"/>
          </w:tblCellMar>
        </w:tblPrEx>
        <w:trPr>
          <w:trHeight w:val="454"/>
        </w:trPr>
        <w:tc>
          <w:tcPr>
            <w:tcW w:w="2400" w:type="dxa"/>
          </w:tcPr>
          <w:p w:rsidR="00612D3C" w:rsidRPr="00612D3C" w:rsidRDefault="00612D3C" w:rsidP="00612D3C">
            <w:pPr>
              <w:widowControl/>
              <w:suppressAutoHyphens w:val="0"/>
              <w:rPr>
                <w:b/>
                <w:color w:val="010000"/>
              </w:rPr>
            </w:pPr>
            <w:r w:rsidRPr="00612D3C">
              <w:rPr>
                <w:b/>
                <w:color w:val="010000"/>
              </w:rPr>
              <w:t>Üyeler</w:t>
            </w:r>
          </w:p>
        </w:tc>
        <w:tc>
          <w:tcPr>
            <w:tcW w:w="200" w:type="dxa"/>
          </w:tcPr>
          <w:p w:rsidR="00612D3C" w:rsidRPr="00612D3C" w:rsidRDefault="00612D3C" w:rsidP="00612D3C">
            <w:pPr>
              <w:widowControl/>
              <w:suppressAutoHyphens w:val="0"/>
              <w:rPr>
                <w:b/>
                <w:color w:val="010000"/>
              </w:rPr>
            </w:pPr>
            <w:r w:rsidRPr="00612D3C">
              <w:rPr>
                <w:b/>
                <w:color w:val="010000"/>
              </w:rPr>
              <w:t>:</w:t>
            </w:r>
          </w:p>
        </w:tc>
        <w:tc>
          <w:tcPr>
            <w:tcW w:w="10000" w:type="dxa"/>
          </w:tcPr>
          <w:p w:rsidR="00612D3C" w:rsidRPr="00612D3C" w:rsidRDefault="00612D3C" w:rsidP="00612D3C">
            <w:pPr>
              <w:widowControl/>
              <w:suppressAutoHyphens w:val="0"/>
              <w:rPr>
                <w:color w:val="010000"/>
              </w:rPr>
            </w:pPr>
            <w:r w:rsidRPr="00612D3C">
              <w:rPr>
                <w:color w:val="010000"/>
              </w:rPr>
              <w:t>Engin YILDIRIM</w:t>
            </w:r>
          </w:p>
        </w:tc>
      </w:tr>
      <w:tr w:rsidR="00612D3C" w:rsidRPr="00612D3C" w:rsidTr="00612D3C">
        <w:tblPrEx>
          <w:tblCellMar>
            <w:top w:w="0" w:type="dxa"/>
            <w:bottom w:w="0" w:type="dxa"/>
          </w:tblCellMar>
        </w:tblPrEx>
        <w:trPr>
          <w:trHeight w:val="454"/>
        </w:trPr>
        <w:tc>
          <w:tcPr>
            <w:tcW w:w="2400" w:type="dxa"/>
          </w:tcPr>
          <w:p w:rsidR="00612D3C" w:rsidRPr="00612D3C" w:rsidRDefault="00612D3C" w:rsidP="00612D3C">
            <w:pPr>
              <w:widowControl/>
              <w:suppressAutoHyphens w:val="0"/>
              <w:rPr>
                <w:b/>
                <w:color w:val="010000"/>
              </w:rPr>
            </w:pPr>
          </w:p>
        </w:tc>
        <w:tc>
          <w:tcPr>
            <w:tcW w:w="200" w:type="dxa"/>
          </w:tcPr>
          <w:p w:rsidR="00612D3C" w:rsidRPr="00612D3C" w:rsidRDefault="00612D3C" w:rsidP="00612D3C">
            <w:pPr>
              <w:widowControl/>
              <w:suppressAutoHyphens w:val="0"/>
              <w:rPr>
                <w:b/>
                <w:color w:val="010000"/>
              </w:rPr>
            </w:pPr>
          </w:p>
        </w:tc>
        <w:tc>
          <w:tcPr>
            <w:tcW w:w="10000" w:type="dxa"/>
          </w:tcPr>
          <w:p w:rsidR="00612D3C" w:rsidRPr="00612D3C" w:rsidRDefault="00612D3C" w:rsidP="00612D3C">
            <w:pPr>
              <w:widowControl/>
              <w:suppressAutoHyphens w:val="0"/>
              <w:rPr>
                <w:color w:val="010000"/>
              </w:rPr>
            </w:pPr>
            <w:r w:rsidRPr="00612D3C">
              <w:rPr>
                <w:color w:val="010000"/>
              </w:rPr>
              <w:t>Rıdvan GÜLEÇ</w:t>
            </w:r>
          </w:p>
        </w:tc>
      </w:tr>
      <w:tr w:rsidR="00612D3C" w:rsidRPr="00612D3C" w:rsidTr="00612D3C">
        <w:tblPrEx>
          <w:tblCellMar>
            <w:top w:w="0" w:type="dxa"/>
            <w:bottom w:w="0" w:type="dxa"/>
          </w:tblCellMar>
        </w:tblPrEx>
        <w:trPr>
          <w:trHeight w:val="454"/>
        </w:trPr>
        <w:tc>
          <w:tcPr>
            <w:tcW w:w="2400" w:type="dxa"/>
          </w:tcPr>
          <w:p w:rsidR="00612D3C" w:rsidRPr="00612D3C" w:rsidRDefault="00612D3C" w:rsidP="00612D3C">
            <w:pPr>
              <w:widowControl/>
              <w:suppressAutoHyphens w:val="0"/>
              <w:rPr>
                <w:b/>
                <w:color w:val="010000"/>
              </w:rPr>
            </w:pPr>
          </w:p>
        </w:tc>
        <w:tc>
          <w:tcPr>
            <w:tcW w:w="200" w:type="dxa"/>
          </w:tcPr>
          <w:p w:rsidR="00612D3C" w:rsidRPr="00612D3C" w:rsidRDefault="00612D3C" w:rsidP="00612D3C">
            <w:pPr>
              <w:widowControl/>
              <w:suppressAutoHyphens w:val="0"/>
              <w:rPr>
                <w:b/>
                <w:color w:val="010000"/>
              </w:rPr>
            </w:pPr>
          </w:p>
        </w:tc>
        <w:tc>
          <w:tcPr>
            <w:tcW w:w="10000" w:type="dxa"/>
          </w:tcPr>
          <w:p w:rsidR="00612D3C" w:rsidRPr="00612D3C" w:rsidRDefault="00612D3C" w:rsidP="00612D3C">
            <w:pPr>
              <w:widowControl/>
              <w:suppressAutoHyphens w:val="0"/>
              <w:rPr>
                <w:color w:val="010000"/>
              </w:rPr>
            </w:pPr>
            <w:r w:rsidRPr="00612D3C">
              <w:rPr>
                <w:color w:val="010000"/>
              </w:rPr>
              <w:t>Yıldız SEFERİNOĞLU</w:t>
            </w:r>
          </w:p>
        </w:tc>
      </w:tr>
      <w:tr w:rsidR="00612D3C" w:rsidRPr="00612D3C" w:rsidTr="00612D3C">
        <w:tblPrEx>
          <w:tblCellMar>
            <w:top w:w="0" w:type="dxa"/>
            <w:bottom w:w="0" w:type="dxa"/>
          </w:tblCellMar>
        </w:tblPrEx>
        <w:trPr>
          <w:trHeight w:val="454"/>
        </w:trPr>
        <w:tc>
          <w:tcPr>
            <w:tcW w:w="2400" w:type="dxa"/>
          </w:tcPr>
          <w:p w:rsidR="00612D3C" w:rsidRPr="00612D3C" w:rsidRDefault="00612D3C" w:rsidP="00612D3C">
            <w:pPr>
              <w:widowControl/>
              <w:suppressAutoHyphens w:val="0"/>
              <w:rPr>
                <w:b/>
                <w:color w:val="010000"/>
              </w:rPr>
            </w:pPr>
          </w:p>
        </w:tc>
        <w:tc>
          <w:tcPr>
            <w:tcW w:w="200" w:type="dxa"/>
          </w:tcPr>
          <w:p w:rsidR="00612D3C" w:rsidRPr="00612D3C" w:rsidRDefault="00612D3C" w:rsidP="00612D3C">
            <w:pPr>
              <w:widowControl/>
              <w:suppressAutoHyphens w:val="0"/>
              <w:rPr>
                <w:b/>
                <w:color w:val="010000"/>
              </w:rPr>
            </w:pPr>
          </w:p>
        </w:tc>
        <w:tc>
          <w:tcPr>
            <w:tcW w:w="10000" w:type="dxa"/>
          </w:tcPr>
          <w:p w:rsidR="00612D3C" w:rsidRPr="00612D3C" w:rsidRDefault="00612D3C" w:rsidP="00612D3C">
            <w:pPr>
              <w:widowControl/>
              <w:suppressAutoHyphens w:val="0"/>
              <w:rPr>
                <w:color w:val="010000"/>
              </w:rPr>
            </w:pPr>
            <w:r w:rsidRPr="00612D3C">
              <w:rPr>
                <w:color w:val="010000"/>
              </w:rPr>
              <w:t>Metin KIRATLI</w:t>
            </w:r>
          </w:p>
        </w:tc>
      </w:tr>
      <w:tr w:rsidR="00612D3C" w:rsidRPr="00612D3C" w:rsidTr="00612D3C">
        <w:tblPrEx>
          <w:tblCellMar>
            <w:top w:w="0" w:type="dxa"/>
            <w:bottom w:w="0" w:type="dxa"/>
          </w:tblCellMar>
        </w:tblPrEx>
        <w:trPr>
          <w:trHeight w:val="454"/>
        </w:trPr>
        <w:tc>
          <w:tcPr>
            <w:tcW w:w="2400" w:type="dxa"/>
          </w:tcPr>
          <w:p w:rsidR="00612D3C" w:rsidRPr="00612D3C" w:rsidRDefault="00612D3C" w:rsidP="00612D3C">
            <w:pPr>
              <w:widowControl/>
              <w:suppressAutoHyphens w:val="0"/>
              <w:rPr>
                <w:b/>
                <w:color w:val="010000"/>
              </w:rPr>
            </w:pPr>
            <w:r w:rsidRPr="00612D3C">
              <w:rPr>
                <w:b/>
                <w:color w:val="010000"/>
              </w:rPr>
              <w:t>Raportör</w:t>
            </w:r>
          </w:p>
        </w:tc>
        <w:tc>
          <w:tcPr>
            <w:tcW w:w="200" w:type="dxa"/>
          </w:tcPr>
          <w:p w:rsidR="00612D3C" w:rsidRPr="00612D3C" w:rsidRDefault="00612D3C" w:rsidP="00612D3C">
            <w:pPr>
              <w:widowControl/>
              <w:suppressAutoHyphens w:val="0"/>
              <w:rPr>
                <w:b/>
                <w:color w:val="010000"/>
              </w:rPr>
            </w:pPr>
            <w:r w:rsidRPr="00612D3C">
              <w:rPr>
                <w:b/>
                <w:color w:val="010000"/>
              </w:rPr>
              <w:t>:</w:t>
            </w:r>
          </w:p>
        </w:tc>
        <w:tc>
          <w:tcPr>
            <w:tcW w:w="10000" w:type="dxa"/>
          </w:tcPr>
          <w:p w:rsidR="00612D3C" w:rsidRPr="00612D3C" w:rsidRDefault="00612D3C" w:rsidP="00612D3C">
            <w:pPr>
              <w:widowControl/>
              <w:suppressAutoHyphens w:val="0"/>
              <w:rPr>
                <w:color w:val="010000"/>
              </w:rPr>
            </w:pPr>
            <w:r w:rsidRPr="00612D3C">
              <w:rPr>
                <w:color w:val="010000"/>
              </w:rPr>
              <w:t>Saliha AKSOY</w:t>
            </w:r>
          </w:p>
        </w:tc>
      </w:tr>
      <w:tr w:rsidR="00612D3C" w:rsidRPr="00612D3C" w:rsidTr="00612D3C">
        <w:tblPrEx>
          <w:tblCellMar>
            <w:top w:w="0" w:type="dxa"/>
            <w:bottom w:w="0" w:type="dxa"/>
          </w:tblCellMar>
        </w:tblPrEx>
        <w:trPr>
          <w:trHeight w:val="454"/>
        </w:trPr>
        <w:tc>
          <w:tcPr>
            <w:tcW w:w="2400" w:type="dxa"/>
          </w:tcPr>
          <w:p w:rsidR="00612D3C" w:rsidRPr="00612D3C" w:rsidRDefault="00612D3C" w:rsidP="00612D3C">
            <w:pPr>
              <w:widowControl/>
              <w:suppressAutoHyphens w:val="0"/>
              <w:rPr>
                <w:b/>
                <w:color w:val="010000"/>
              </w:rPr>
            </w:pPr>
            <w:r w:rsidRPr="00612D3C">
              <w:rPr>
                <w:b/>
                <w:color w:val="010000"/>
              </w:rPr>
              <w:t>Başvurucular</w:t>
            </w:r>
          </w:p>
        </w:tc>
        <w:tc>
          <w:tcPr>
            <w:tcW w:w="200" w:type="dxa"/>
          </w:tcPr>
          <w:p w:rsidR="00612D3C" w:rsidRPr="00612D3C" w:rsidRDefault="00612D3C" w:rsidP="00612D3C">
            <w:pPr>
              <w:widowControl/>
              <w:suppressAutoHyphens w:val="0"/>
              <w:rPr>
                <w:b/>
                <w:color w:val="010000"/>
              </w:rPr>
            </w:pPr>
            <w:r w:rsidRPr="00612D3C">
              <w:rPr>
                <w:b/>
                <w:color w:val="010000"/>
              </w:rPr>
              <w:t>:</w:t>
            </w:r>
          </w:p>
        </w:tc>
        <w:tc>
          <w:tcPr>
            <w:tcW w:w="10000" w:type="dxa"/>
          </w:tcPr>
          <w:p w:rsidR="00612D3C" w:rsidRPr="00612D3C" w:rsidRDefault="00612D3C" w:rsidP="00612D3C">
            <w:pPr>
              <w:widowControl/>
              <w:suppressAutoHyphens w:val="0"/>
              <w:rPr>
                <w:color w:val="010000"/>
              </w:rPr>
            </w:pPr>
            <w:r w:rsidRPr="00612D3C">
              <w:rPr>
                <w:color w:val="010000"/>
              </w:rPr>
              <w:t>1. Ayşe ÇALIM</w:t>
            </w:r>
          </w:p>
        </w:tc>
      </w:tr>
      <w:tr w:rsidR="00612D3C" w:rsidRPr="00612D3C" w:rsidTr="00612D3C">
        <w:tblPrEx>
          <w:tblCellMar>
            <w:top w:w="0" w:type="dxa"/>
            <w:bottom w:w="0" w:type="dxa"/>
          </w:tblCellMar>
        </w:tblPrEx>
        <w:trPr>
          <w:trHeight w:val="454"/>
        </w:trPr>
        <w:tc>
          <w:tcPr>
            <w:tcW w:w="2400" w:type="dxa"/>
          </w:tcPr>
          <w:p w:rsidR="00612D3C" w:rsidRPr="00612D3C" w:rsidRDefault="00612D3C" w:rsidP="00612D3C">
            <w:pPr>
              <w:widowControl/>
              <w:suppressAutoHyphens w:val="0"/>
              <w:rPr>
                <w:b/>
                <w:color w:val="010000"/>
              </w:rPr>
            </w:pPr>
          </w:p>
        </w:tc>
        <w:tc>
          <w:tcPr>
            <w:tcW w:w="200" w:type="dxa"/>
          </w:tcPr>
          <w:p w:rsidR="00612D3C" w:rsidRPr="00612D3C" w:rsidRDefault="00612D3C" w:rsidP="00612D3C">
            <w:pPr>
              <w:widowControl/>
              <w:suppressAutoHyphens w:val="0"/>
              <w:rPr>
                <w:b/>
                <w:color w:val="010000"/>
              </w:rPr>
            </w:pPr>
          </w:p>
        </w:tc>
        <w:tc>
          <w:tcPr>
            <w:tcW w:w="10000" w:type="dxa"/>
          </w:tcPr>
          <w:p w:rsidR="00612D3C" w:rsidRPr="00612D3C" w:rsidRDefault="00612D3C" w:rsidP="00612D3C">
            <w:pPr>
              <w:widowControl/>
              <w:suppressAutoHyphens w:val="0"/>
              <w:rPr>
                <w:color w:val="010000"/>
              </w:rPr>
            </w:pPr>
            <w:r w:rsidRPr="00612D3C">
              <w:rPr>
                <w:color w:val="010000"/>
              </w:rPr>
              <w:t>2. Edibe KORKMAZ</w:t>
            </w:r>
          </w:p>
        </w:tc>
      </w:tr>
      <w:tr w:rsidR="00612D3C" w:rsidRPr="00612D3C" w:rsidTr="00612D3C">
        <w:tblPrEx>
          <w:tblCellMar>
            <w:top w:w="0" w:type="dxa"/>
            <w:bottom w:w="0" w:type="dxa"/>
          </w:tblCellMar>
        </w:tblPrEx>
        <w:trPr>
          <w:trHeight w:val="454"/>
        </w:trPr>
        <w:tc>
          <w:tcPr>
            <w:tcW w:w="2400" w:type="dxa"/>
          </w:tcPr>
          <w:p w:rsidR="00612D3C" w:rsidRPr="00612D3C" w:rsidRDefault="00612D3C" w:rsidP="00612D3C">
            <w:pPr>
              <w:widowControl/>
              <w:suppressAutoHyphens w:val="0"/>
              <w:rPr>
                <w:b/>
                <w:color w:val="010000"/>
              </w:rPr>
            </w:pPr>
          </w:p>
        </w:tc>
        <w:tc>
          <w:tcPr>
            <w:tcW w:w="200" w:type="dxa"/>
          </w:tcPr>
          <w:p w:rsidR="00612D3C" w:rsidRPr="00612D3C" w:rsidRDefault="00612D3C" w:rsidP="00612D3C">
            <w:pPr>
              <w:widowControl/>
              <w:suppressAutoHyphens w:val="0"/>
              <w:rPr>
                <w:b/>
                <w:color w:val="010000"/>
              </w:rPr>
            </w:pPr>
          </w:p>
        </w:tc>
        <w:tc>
          <w:tcPr>
            <w:tcW w:w="10000" w:type="dxa"/>
          </w:tcPr>
          <w:p w:rsidR="00612D3C" w:rsidRPr="00612D3C" w:rsidRDefault="00612D3C" w:rsidP="00612D3C">
            <w:pPr>
              <w:widowControl/>
              <w:suppressAutoHyphens w:val="0"/>
              <w:rPr>
                <w:color w:val="010000"/>
              </w:rPr>
            </w:pPr>
            <w:r w:rsidRPr="00612D3C">
              <w:rPr>
                <w:color w:val="010000"/>
              </w:rPr>
              <w:t>3. Erhan ÇALIM</w:t>
            </w:r>
          </w:p>
        </w:tc>
      </w:tr>
      <w:tr w:rsidR="00612D3C" w:rsidRPr="00612D3C" w:rsidTr="00612D3C">
        <w:tblPrEx>
          <w:tblCellMar>
            <w:top w:w="0" w:type="dxa"/>
            <w:bottom w:w="0" w:type="dxa"/>
          </w:tblCellMar>
        </w:tblPrEx>
        <w:trPr>
          <w:trHeight w:val="454"/>
        </w:trPr>
        <w:tc>
          <w:tcPr>
            <w:tcW w:w="2400" w:type="dxa"/>
          </w:tcPr>
          <w:p w:rsidR="00612D3C" w:rsidRPr="00612D3C" w:rsidRDefault="00612D3C" w:rsidP="00612D3C">
            <w:pPr>
              <w:widowControl/>
              <w:suppressAutoHyphens w:val="0"/>
              <w:rPr>
                <w:b/>
                <w:color w:val="010000"/>
              </w:rPr>
            </w:pPr>
          </w:p>
        </w:tc>
        <w:tc>
          <w:tcPr>
            <w:tcW w:w="200" w:type="dxa"/>
          </w:tcPr>
          <w:p w:rsidR="00612D3C" w:rsidRPr="00612D3C" w:rsidRDefault="00612D3C" w:rsidP="00612D3C">
            <w:pPr>
              <w:widowControl/>
              <w:suppressAutoHyphens w:val="0"/>
              <w:rPr>
                <w:b/>
                <w:color w:val="010000"/>
              </w:rPr>
            </w:pPr>
          </w:p>
        </w:tc>
        <w:tc>
          <w:tcPr>
            <w:tcW w:w="10000" w:type="dxa"/>
          </w:tcPr>
          <w:p w:rsidR="00612D3C" w:rsidRPr="00612D3C" w:rsidRDefault="00612D3C" w:rsidP="00612D3C">
            <w:pPr>
              <w:widowControl/>
              <w:suppressAutoHyphens w:val="0"/>
              <w:rPr>
                <w:color w:val="010000"/>
              </w:rPr>
            </w:pPr>
            <w:r w:rsidRPr="00612D3C">
              <w:rPr>
                <w:color w:val="010000"/>
              </w:rPr>
              <w:t>4. Hüseyin ÇALIM</w:t>
            </w:r>
          </w:p>
        </w:tc>
      </w:tr>
      <w:tr w:rsidR="00612D3C" w:rsidRPr="00612D3C" w:rsidTr="00612D3C">
        <w:tblPrEx>
          <w:tblCellMar>
            <w:top w:w="0" w:type="dxa"/>
            <w:bottom w:w="0" w:type="dxa"/>
          </w:tblCellMar>
        </w:tblPrEx>
        <w:trPr>
          <w:trHeight w:val="454"/>
        </w:trPr>
        <w:tc>
          <w:tcPr>
            <w:tcW w:w="2400" w:type="dxa"/>
          </w:tcPr>
          <w:p w:rsidR="00612D3C" w:rsidRPr="00612D3C" w:rsidRDefault="00612D3C" w:rsidP="00612D3C">
            <w:pPr>
              <w:widowControl/>
              <w:suppressAutoHyphens w:val="0"/>
              <w:rPr>
                <w:b/>
                <w:color w:val="010000"/>
              </w:rPr>
            </w:pPr>
          </w:p>
        </w:tc>
        <w:tc>
          <w:tcPr>
            <w:tcW w:w="200" w:type="dxa"/>
          </w:tcPr>
          <w:p w:rsidR="00612D3C" w:rsidRPr="00612D3C" w:rsidRDefault="00612D3C" w:rsidP="00612D3C">
            <w:pPr>
              <w:widowControl/>
              <w:suppressAutoHyphens w:val="0"/>
              <w:rPr>
                <w:b/>
                <w:color w:val="010000"/>
              </w:rPr>
            </w:pPr>
          </w:p>
        </w:tc>
        <w:tc>
          <w:tcPr>
            <w:tcW w:w="10000" w:type="dxa"/>
          </w:tcPr>
          <w:p w:rsidR="00612D3C" w:rsidRPr="00612D3C" w:rsidRDefault="00612D3C" w:rsidP="00612D3C">
            <w:pPr>
              <w:widowControl/>
              <w:suppressAutoHyphens w:val="0"/>
              <w:rPr>
                <w:color w:val="010000"/>
              </w:rPr>
            </w:pPr>
            <w:r w:rsidRPr="00612D3C">
              <w:rPr>
                <w:color w:val="010000"/>
              </w:rPr>
              <w:t>5. Nusret ÇALIM</w:t>
            </w:r>
          </w:p>
        </w:tc>
      </w:tr>
      <w:tr w:rsidR="00612D3C" w:rsidRPr="00612D3C" w:rsidTr="00612D3C">
        <w:tblPrEx>
          <w:tblCellMar>
            <w:top w:w="0" w:type="dxa"/>
            <w:bottom w:w="0" w:type="dxa"/>
          </w:tblCellMar>
        </w:tblPrEx>
        <w:trPr>
          <w:trHeight w:val="454"/>
        </w:trPr>
        <w:tc>
          <w:tcPr>
            <w:tcW w:w="2400" w:type="dxa"/>
          </w:tcPr>
          <w:p w:rsidR="00612D3C" w:rsidRPr="00612D3C" w:rsidRDefault="00612D3C" w:rsidP="00612D3C">
            <w:pPr>
              <w:widowControl/>
              <w:suppressAutoHyphens w:val="0"/>
              <w:rPr>
                <w:b/>
                <w:color w:val="010000"/>
              </w:rPr>
            </w:pPr>
          </w:p>
        </w:tc>
        <w:tc>
          <w:tcPr>
            <w:tcW w:w="200" w:type="dxa"/>
          </w:tcPr>
          <w:p w:rsidR="00612D3C" w:rsidRPr="00612D3C" w:rsidRDefault="00612D3C" w:rsidP="00612D3C">
            <w:pPr>
              <w:widowControl/>
              <w:suppressAutoHyphens w:val="0"/>
              <w:rPr>
                <w:b/>
                <w:color w:val="010000"/>
              </w:rPr>
            </w:pPr>
          </w:p>
        </w:tc>
        <w:tc>
          <w:tcPr>
            <w:tcW w:w="10000" w:type="dxa"/>
          </w:tcPr>
          <w:p w:rsidR="00612D3C" w:rsidRPr="00612D3C" w:rsidRDefault="00612D3C" w:rsidP="00612D3C">
            <w:pPr>
              <w:widowControl/>
              <w:suppressAutoHyphens w:val="0"/>
              <w:rPr>
                <w:color w:val="010000"/>
              </w:rPr>
            </w:pPr>
            <w:r w:rsidRPr="00612D3C">
              <w:rPr>
                <w:color w:val="010000"/>
              </w:rPr>
              <w:t>6. Okan ÇALIM</w:t>
            </w:r>
          </w:p>
        </w:tc>
      </w:tr>
      <w:tr w:rsidR="00612D3C" w:rsidRPr="00612D3C" w:rsidTr="00612D3C">
        <w:tblPrEx>
          <w:tblCellMar>
            <w:top w:w="0" w:type="dxa"/>
            <w:bottom w:w="0" w:type="dxa"/>
          </w:tblCellMar>
        </w:tblPrEx>
        <w:trPr>
          <w:trHeight w:val="454"/>
        </w:trPr>
        <w:tc>
          <w:tcPr>
            <w:tcW w:w="2400" w:type="dxa"/>
          </w:tcPr>
          <w:p w:rsidR="00612D3C" w:rsidRPr="00612D3C" w:rsidRDefault="00612D3C" w:rsidP="00612D3C">
            <w:pPr>
              <w:widowControl/>
              <w:suppressAutoHyphens w:val="0"/>
              <w:rPr>
                <w:b/>
                <w:color w:val="010000"/>
              </w:rPr>
            </w:pPr>
            <w:r w:rsidRPr="00612D3C">
              <w:rPr>
                <w:b/>
                <w:color w:val="010000"/>
              </w:rPr>
              <w:t>Vekili</w:t>
            </w:r>
          </w:p>
        </w:tc>
        <w:tc>
          <w:tcPr>
            <w:tcW w:w="200" w:type="dxa"/>
          </w:tcPr>
          <w:p w:rsidR="00612D3C" w:rsidRPr="00612D3C" w:rsidRDefault="00612D3C" w:rsidP="00612D3C">
            <w:pPr>
              <w:widowControl/>
              <w:suppressAutoHyphens w:val="0"/>
              <w:rPr>
                <w:b/>
                <w:color w:val="010000"/>
              </w:rPr>
            </w:pPr>
            <w:r w:rsidRPr="00612D3C">
              <w:rPr>
                <w:b/>
                <w:color w:val="010000"/>
              </w:rPr>
              <w:t>:</w:t>
            </w:r>
          </w:p>
        </w:tc>
        <w:tc>
          <w:tcPr>
            <w:tcW w:w="10000" w:type="dxa"/>
          </w:tcPr>
          <w:p w:rsidR="00612D3C" w:rsidRPr="00612D3C" w:rsidRDefault="00612D3C" w:rsidP="00612D3C">
            <w:pPr>
              <w:widowControl/>
              <w:suppressAutoHyphens w:val="0"/>
              <w:rPr>
                <w:color w:val="010000"/>
              </w:rPr>
            </w:pPr>
            <w:r w:rsidRPr="00612D3C">
              <w:rPr>
                <w:color w:val="010000"/>
              </w:rPr>
              <w:t>Av. Tahsin KOÇ</w:t>
            </w:r>
          </w:p>
        </w:tc>
      </w:tr>
    </w:tbl>
    <w:p w:rsidR="00612D3C" w:rsidRDefault="00612D3C" w:rsidP="00612D3C">
      <w:pPr>
        <w:widowControl/>
        <w:suppressAutoHyphens w:val="0"/>
        <w:spacing w:after="200"/>
        <w:ind w:left="283" w:right="283" w:firstLine="709"/>
        <w:jc w:val="both"/>
        <w:rPr>
          <w:b/>
          <w:color w:val="010000"/>
        </w:rPr>
      </w:pPr>
    </w:p>
    <w:p w:rsidR="00BF6DEF" w:rsidRPr="00612D3C" w:rsidRDefault="00BF6DEF" w:rsidP="00612D3C">
      <w:pPr>
        <w:widowControl/>
        <w:suppressAutoHyphens w:val="0"/>
        <w:spacing w:after="200"/>
        <w:ind w:left="283" w:right="283" w:firstLine="709"/>
        <w:jc w:val="both"/>
        <w:rPr>
          <w:color w:val="010000"/>
        </w:rPr>
      </w:pPr>
      <w:r w:rsidRPr="00612D3C">
        <w:rPr>
          <w:b/>
          <w:color w:val="010000"/>
        </w:rPr>
        <w:t>I. BAŞVURUNUN ÖZETİ</w:t>
      </w:r>
    </w:p>
    <w:p w:rsidR="00BF6DEF" w:rsidRPr="00612D3C" w:rsidRDefault="00BF6DEF" w:rsidP="00612D3C">
      <w:pPr>
        <w:widowControl/>
        <w:suppressAutoHyphens w:val="0"/>
        <w:spacing w:after="200"/>
        <w:ind w:left="283" w:right="283" w:firstLine="709"/>
        <w:jc w:val="both"/>
        <w:rPr>
          <w:color w:val="010000"/>
        </w:rPr>
      </w:pPr>
      <w:r w:rsidRPr="00612D3C">
        <w:rPr>
          <w:color w:val="010000"/>
        </w:rPr>
        <w:t>1.</w:t>
      </w:r>
      <w:r w:rsidR="00612D3C" w:rsidRPr="00612D3C">
        <w:rPr>
          <w:color w:val="010000"/>
        </w:rPr>
        <w:t xml:space="preserve"> </w:t>
      </w:r>
      <w:r w:rsidRPr="00612D3C">
        <w:rPr>
          <w:color w:val="010000"/>
        </w:rPr>
        <w:t>Başvuru, terör saldırısı sonucu meydana gelen ölüm olayı nedeniyle uğranıldığı ileri sürülen zararların tazmini talebiyle açılan tam yargı davasının süre aşımı yönünden reddedilmesi nedeniyle mahkemeye erişim hakkının ihlal edildiği iddiasına ilişkindir.</w:t>
      </w:r>
    </w:p>
    <w:p w:rsidR="00BF6DEF" w:rsidRPr="00612D3C" w:rsidRDefault="00BF6DEF" w:rsidP="00612D3C">
      <w:pPr>
        <w:widowControl/>
        <w:suppressAutoHyphens w:val="0"/>
        <w:spacing w:after="200"/>
        <w:ind w:left="283" w:right="283" w:firstLine="709"/>
        <w:jc w:val="both"/>
        <w:rPr>
          <w:color w:val="010000"/>
        </w:rPr>
      </w:pPr>
      <w:r w:rsidRPr="00612D3C">
        <w:rPr>
          <w:color w:val="010000"/>
        </w:rPr>
        <w:t xml:space="preserve">2. Hatay'ın Reyhanlı ilçesinde 11/5/2013 tarihinde biri belediye binası önünde diğeri postane binası yakınlarında olmak üzere bomba yüklü iki aracın infilak ettirilmesi suretiyle terör saldırısı gerçekleştirilmiştir. Saldırı sonucu 51 kişi yaşamını yitirmiş, 222 kişi yaralanmıştır. Başvurucuların yakını A.Ç., söz konusu saldırı sonucu hayatını kaybedenlerden biridir. A.Ç.nin annesi olan başvurucu Edibe Korkmaz tarafından 21/5/2013 tarihinde Hatay Valiliği Zarar Tespit Komisyonuna yapılan başvuru üzerine 21/6/2013 tarihinde sulhname imzalanmış ve 17/7/2004 tarihli ve 5233 sayılı Terör ve Terörle </w:t>
      </w:r>
      <w:r w:rsidRPr="00612D3C">
        <w:rPr>
          <w:color w:val="010000"/>
        </w:rPr>
        <w:lastRenderedPageBreak/>
        <w:t>Mücadeleden Doğan Zararların Karşılanması Hakkında Kanun uyarınca 25.842,95 TL tutarında maddi tazminat A.Ç.nin mirasçılarına ödenmiştir.</w:t>
      </w:r>
    </w:p>
    <w:p w:rsidR="00612D3C" w:rsidRDefault="00612D3C" w:rsidP="00612D3C">
      <w:pPr>
        <w:widowControl/>
        <w:suppressAutoHyphens w:val="0"/>
        <w:spacing w:after="200"/>
        <w:ind w:left="283" w:right="283" w:firstLine="709"/>
        <w:jc w:val="both"/>
        <w:rPr>
          <w:color w:val="010000"/>
        </w:rPr>
      </w:pPr>
      <w:r>
        <w:rPr>
          <w:color w:val="010000"/>
        </w:rPr>
        <w:t xml:space="preserve">3. Söz konusu terör saldırısıyla ilgili olarak İçişleri Bakanlığı Mülkiye Müfettişliği tarafından düzenlenen 30/6/2014 tarihli ön inceleme raporunda Hatay Emniyet Müdürlüğüne olay öncesi konuyla ilgili çok sayıda ihbar geldiği, istihbarat birimleri tarafından -araç plakası, şahıs isimleri gibi bilgilerin de belirtilmesi suretiyle- Hatay Emniyet Müdürlüğüne bilgi sunulduğu, patlamanın meydana gelmesinde önlem almayan emniyet birimlerinin hizmet kusurunun bulunduğu ve ilgililer hakkında soruşturma izni verilmesi gerektiği belirtilmiştir. </w:t>
      </w:r>
    </w:p>
    <w:p w:rsidR="00BF6DEF" w:rsidRPr="00612D3C" w:rsidRDefault="00BF6DEF" w:rsidP="00612D3C">
      <w:pPr>
        <w:widowControl/>
        <w:suppressAutoHyphens w:val="0"/>
        <w:spacing w:after="200"/>
        <w:ind w:left="283" w:right="283" w:firstLine="709"/>
        <w:jc w:val="both"/>
        <w:rPr>
          <w:color w:val="010000"/>
        </w:rPr>
      </w:pPr>
      <w:r w:rsidRPr="00612D3C">
        <w:rPr>
          <w:color w:val="010000"/>
        </w:rPr>
        <w:t xml:space="preserve">4. İlgili emniyet görevlileri ile mülki idare amirleri hakkında Hatay Valiliği tarafından soruşturma izni verilmesi üzerine Hatay Cumhuriyet Başsavcılığınca 30/12/2014 tarihinde görevi kötüye kullanma suçundan iddianame düzenlenmiş ve iddianamenin kabulü ile Hatay 7. Asliye Ceza Mahkemesi nezdinde 19/1/2015 tarihinde kamu davası açılmıştır. </w:t>
      </w:r>
    </w:p>
    <w:p w:rsidR="00BF6DEF" w:rsidRPr="00612D3C" w:rsidRDefault="00BF6DEF" w:rsidP="00612D3C">
      <w:pPr>
        <w:widowControl/>
        <w:suppressAutoHyphens w:val="0"/>
        <w:spacing w:after="200"/>
        <w:ind w:left="283" w:right="283" w:firstLine="709"/>
        <w:jc w:val="both"/>
        <w:rPr>
          <w:color w:val="010000"/>
        </w:rPr>
      </w:pPr>
      <w:r w:rsidRPr="00612D3C">
        <w:rPr>
          <w:color w:val="010000"/>
        </w:rPr>
        <w:t xml:space="preserve">5. Başvurucular 18/11/2015 tarihinde İçişleri Bakanlığına sundukları dilekçe ile yakınları A.Ç.nin ölümü nedeniyle uğradıkları zararların ödenmesi için talepte bulunmuştur. Talebin 25/11/2015 tarihli işlemle reddedilmesi üzerine başvurucular 29/1/2016 tarihinde 5233 sayılı Kanun hükümleri kapsamında idare ile imzalanan sulhnamenin iptal edilmesi ile manevi zararlarının ödenmesi talepleriyle tam yargı davası açmıştır. Dava dilekçesinde patlamanın ve ölümlerin yaşanmasında idarenin kusurunun bulunduğu, istihbarat bilgisi bulunmasına karşın önlem alınmadığı ileri sürülmüş ve dava açma süresine ilişkin açıklama yapılarak 5233 sayılı Kanun'dan ayrı olarak kusur sorumluluğu temelinde dava açıldığı vurgulanmıştır. </w:t>
      </w:r>
    </w:p>
    <w:p w:rsidR="00612D3C" w:rsidRDefault="00612D3C" w:rsidP="00612D3C">
      <w:pPr>
        <w:widowControl/>
        <w:suppressAutoHyphens w:val="0"/>
        <w:spacing w:after="200"/>
        <w:ind w:left="283" w:right="283" w:firstLine="709"/>
        <w:jc w:val="both"/>
        <w:rPr>
          <w:color w:val="010000"/>
        </w:rPr>
      </w:pPr>
      <w:r>
        <w:rPr>
          <w:color w:val="010000"/>
        </w:rPr>
        <w:t xml:space="preserve">6. Hatay İdare Mahkemesi (İdare Mahkemesi) 17/2/2016 tarihli kararıyla davayı süre aşımı nedeniyle reddetmiştir. Kararın gerekçesinde, </w:t>
      </w:r>
      <w:proofErr w:type="spellStart"/>
      <w:r>
        <w:rPr>
          <w:color w:val="010000"/>
        </w:rPr>
        <w:t>sulhnamenin</w:t>
      </w:r>
      <w:proofErr w:type="spellEnd"/>
      <w:r>
        <w:rPr>
          <w:color w:val="010000"/>
        </w:rPr>
        <w:t xml:space="preserve"> iptali ve maddi tazminat talepleri bakımından </w:t>
      </w:r>
      <w:proofErr w:type="spellStart"/>
      <w:r>
        <w:rPr>
          <w:color w:val="010000"/>
        </w:rPr>
        <w:t>sulhnamenin</w:t>
      </w:r>
      <w:proofErr w:type="spellEnd"/>
      <w:r>
        <w:rPr>
          <w:color w:val="010000"/>
        </w:rPr>
        <w:t xml:space="preserve"> imzalandığı 21/6/2013 tarihinden itibaren en geç altmış gün içinde dava açılması veya aynı süre içinde idareye başvurulup başvuru neticesinde tesis edilecek işlemin sonucuna göre işlemin tebliğinden itibaren geri kalan dava açma süresi içinde; manevi tazminat talebi bakımından ise 6/1/1982 tarihli ve 2577 sayılı İdari Yargılama Usulü Kanunu uyarınca olay tarihinden itibaren bir yıl içinde ve en geç 12/5/2014 tarihinde idari başvuru yaparak sonucuna göre otuz gün içinde dava açılması gerektiği belirtilmiştir. Bu bağlamda olayın üzerinden uzun süre geçmesinden sonra dava açma süresini canlandırma olanağı bulunmayan 18/11/2015 tarihli idari başvuru üzerine verilen ret cevabının ardından 29/1/2016 tarihinde açılan davada süre aşımı bulunduğu ifade edilmiştir. </w:t>
      </w:r>
    </w:p>
    <w:p w:rsidR="00BF6DEF" w:rsidRPr="00612D3C" w:rsidRDefault="00BF6DEF" w:rsidP="00612D3C">
      <w:pPr>
        <w:widowControl/>
        <w:suppressAutoHyphens w:val="0"/>
        <w:spacing w:after="200"/>
        <w:ind w:left="283" w:right="283" w:firstLine="709"/>
        <w:jc w:val="both"/>
        <w:rPr>
          <w:color w:val="010000"/>
        </w:rPr>
      </w:pPr>
      <w:r w:rsidRPr="00612D3C">
        <w:rPr>
          <w:color w:val="010000"/>
        </w:rPr>
        <w:t xml:space="preserve">7. Başvurucuların temyiz talebi üzerine, Danıştay Onuncu Dairesi (Daire) 14/11/2018 tarihli kararıyla süre ret kararını bozmuştur. Kararın gerekçesinde, 2577 sayılı Kanun'da tam yargı davaları için öngörülen bir ve beş yıllık sürelerin eylemin idariliğinin ortaya çıktığı andan itibaren hesaplanmasının şart olduğu, somut olayda ise eylemin idariliğinin 19/1/2015 tarihinde açılan ceza davası ile öğrenildiğinin kabulünün gerektiği, bu nedenle de ceza davasının açılmasından itibaren bir yıl içinde 18/11/2015 tarihinde yapıldığı anlaşılan idari başvuru üzerine açılan davanın süresinde olduğu belirtilmiştir. Daire, gerekçesinde ayrıca sulhname imzalandıktan sonra idarenin sorumluluğunun hizmet kusuru ilkesi uyarınca çözülebileceğini belirterek sulhnamenin iptali talebinin de tazminat talepleri ile birlikte değerlendirilmesi gerektiğine işaret etmiştir. Davalı idarenin karar düzeltme talebi üzerine Daire, bozma kararını kaldırarak İdare Mahkemesinin 17/2/2016 tarihli süre ret kararını 19/10/2020 tarihinde onamıştır. </w:t>
      </w:r>
    </w:p>
    <w:p w:rsidR="00BF6DEF" w:rsidRPr="00612D3C" w:rsidRDefault="00BF6DEF" w:rsidP="00612D3C">
      <w:pPr>
        <w:widowControl/>
        <w:suppressAutoHyphens w:val="0"/>
        <w:spacing w:after="200"/>
        <w:ind w:left="283" w:right="283" w:firstLine="709"/>
        <w:jc w:val="both"/>
        <w:rPr>
          <w:color w:val="010000"/>
        </w:rPr>
      </w:pPr>
      <w:r w:rsidRPr="00612D3C">
        <w:rPr>
          <w:color w:val="010000"/>
        </w:rPr>
        <w:t xml:space="preserve">8. Başvurucular, nihai kararı 22/1/2021 tarihinde öğrendikten sonra 12/2/2021 tarihinde bireysel başvuruda bulunmuştur. </w:t>
      </w:r>
    </w:p>
    <w:p w:rsidR="00BF6DEF" w:rsidRPr="00612D3C" w:rsidRDefault="00BF6DEF" w:rsidP="00612D3C">
      <w:pPr>
        <w:widowControl/>
        <w:suppressAutoHyphens w:val="0"/>
        <w:spacing w:after="200"/>
        <w:ind w:left="283" w:right="283" w:firstLine="709"/>
        <w:jc w:val="both"/>
        <w:rPr>
          <w:color w:val="010000"/>
        </w:rPr>
      </w:pPr>
      <w:r w:rsidRPr="00612D3C">
        <w:rPr>
          <w:color w:val="010000"/>
        </w:rPr>
        <w:t>9. Başvurunun kabul edilebilirlik ve esas incelemesinin Bölüm tarafından yapılmasına karar verilmiştir.</w:t>
      </w:r>
    </w:p>
    <w:p w:rsidR="00BF6DEF" w:rsidRPr="00612D3C" w:rsidRDefault="00BF6DEF" w:rsidP="00612D3C">
      <w:pPr>
        <w:widowControl/>
        <w:suppressAutoHyphens w:val="0"/>
        <w:spacing w:after="200"/>
        <w:ind w:left="283" w:right="283" w:firstLine="709"/>
        <w:jc w:val="both"/>
        <w:rPr>
          <w:color w:val="010000"/>
        </w:rPr>
      </w:pPr>
      <w:r w:rsidRPr="00612D3C">
        <w:rPr>
          <w:color w:val="010000"/>
        </w:rPr>
        <w:t>10. Başvurucu Fatih Çalım, başvuru tarihinden sonra 7/2/2023 tarihinde vefat etmiştir. Ölen başvurucunun mirasçıları 19/12/2024 tarihli dilekçe ile başvuruyu devam ettirmek istediklerini bildirmiştir.</w:t>
      </w:r>
    </w:p>
    <w:p w:rsidR="00BF6DEF" w:rsidRPr="00612D3C" w:rsidRDefault="00BF6DEF" w:rsidP="00612D3C">
      <w:pPr>
        <w:pStyle w:val="edf1450279197849"/>
        <w:widowControl/>
        <w:suppressAutoHyphens w:val="0"/>
        <w:spacing w:after="200"/>
        <w:ind w:left="283" w:right="283" w:firstLine="709"/>
        <w:jc w:val="both"/>
        <w:rPr>
          <w:rFonts w:cs="Times New Roman"/>
          <w:color w:val="010000"/>
        </w:rPr>
      </w:pPr>
      <w:r w:rsidRPr="00612D3C">
        <w:rPr>
          <w:rFonts w:cs="Times New Roman"/>
          <w:b/>
          <w:color w:val="010000"/>
        </w:rPr>
        <w:t>II. DEĞERLENDİRME</w:t>
      </w:r>
    </w:p>
    <w:p w:rsidR="00BF6DEF" w:rsidRPr="00612D3C" w:rsidRDefault="00BF6DEF" w:rsidP="00612D3C">
      <w:pPr>
        <w:pStyle w:val="edf1450279197849"/>
        <w:widowControl/>
        <w:suppressAutoHyphens w:val="0"/>
        <w:spacing w:after="200"/>
        <w:ind w:left="283" w:right="283" w:firstLine="709"/>
        <w:jc w:val="both"/>
        <w:rPr>
          <w:rFonts w:cs="Times New Roman"/>
          <w:color w:val="010000"/>
        </w:rPr>
      </w:pPr>
      <w:r w:rsidRPr="00612D3C">
        <w:rPr>
          <w:rFonts w:cs="Times New Roman"/>
          <w:color w:val="010000"/>
        </w:rPr>
        <w:t xml:space="preserve">11. Başvurucular; terör saldırısının gerçekleşmesinde idarenin kusuru olduğunun olay tarihinde öğrenilmesinin mümkün olmadığını, süre ret kararındaki yorumun mahkemeye erişim hakkını aşırı derecede sınırladığını, saldırının yaşanmasında kusuru olan idarenin bu ihmalinin yaşamı koruma yükümlülüğünü ihlal ettiğini belirterek anayasal haklarının ihlal edildiğini ileri sürmüştür. </w:t>
      </w:r>
    </w:p>
    <w:p w:rsidR="00BF6DEF" w:rsidRPr="00612D3C" w:rsidRDefault="00BF6DEF" w:rsidP="00612D3C">
      <w:pPr>
        <w:pStyle w:val="edf1450279197849"/>
        <w:widowControl/>
        <w:suppressAutoHyphens w:val="0"/>
        <w:spacing w:after="200"/>
        <w:ind w:left="283" w:right="283" w:firstLine="709"/>
        <w:jc w:val="both"/>
        <w:rPr>
          <w:rFonts w:cs="Times New Roman"/>
          <w:color w:val="010000"/>
        </w:rPr>
      </w:pPr>
      <w:r w:rsidRPr="00612D3C">
        <w:rPr>
          <w:rFonts w:cs="Times New Roman"/>
          <w:color w:val="010000"/>
        </w:rPr>
        <w:t xml:space="preserve">12. Adalet Bakanlığı (Bakanlık) görüşünde; somut olay sürecini ve insan hakları yargısı içtihadı ile mevzuatı detaylı olarak aktararak yapılacak değerlendirmede Anayasa ve ilgili mevzuat hükümleri, Anayasa Mahkemesi içtihadı ve somut olayın kendine özgü koşullarının da dikkate alınması gerektiğini belirtmiştir. Başvurucular, Bakanlığın görüşüne karşı başvuru formundaki hususları yinelemiştir. </w:t>
      </w:r>
    </w:p>
    <w:p w:rsidR="00BF6DEF" w:rsidRPr="00612D3C" w:rsidRDefault="00BF6DEF" w:rsidP="00612D3C">
      <w:pPr>
        <w:pStyle w:val="edf1450279197849"/>
        <w:widowControl/>
        <w:suppressAutoHyphens w:val="0"/>
        <w:spacing w:after="200"/>
        <w:ind w:left="283" w:right="283" w:firstLine="709"/>
        <w:jc w:val="both"/>
        <w:rPr>
          <w:rFonts w:cs="Times New Roman"/>
          <w:color w:val="010000"/>
        </w:rPr>
      </w:pPr>
      <w:r w:rsidRPr="00612D3C">
        <w:rPr>
          <w:rFonts w:cs="Times New Roman"/>
          <w:color w:val="010000"/>
        </w:rPr>
        <w:t>13.</w:t>
      </w:r>
      <w:r w:rsidR="00612D3C" w:rsidRPr="00612D3C">
        <w:rPr>
          <w:rFonts w:cs="Times New Roman"/>
          <w:color w:val="010000"/>
        </w:rPr>
        <w:t xml:space="preserve"> </w:t>
      </w:r>
      <w:r w:rsidRPr="00612D3C">
        <w:rPr>
          <w:rFonts w:cs="Times New Roman"/>
          <w:color w:val="010000"/>
        </w:rPr>
        <w:t>Olayın niteliği ve başvuru formundaki iddialar doğrultusunda inceleme</w:t>
      </w:r>
      <w:r w:rsidR="00612D3C">
        <w:rPr>
          <w:rFonts w:cs="Times New Roman"/>
          <w:color w:val="010000"/>
        </w:rPr>
        <w:t xml:space="preserve"> </w:t>
      </w:r>
      <w:r w:rsidRPr="00612D3C">
        <w:rPr>
          <w:rFonts w:cs="Times New Roman"/>
          <w:color w:val="010000"/>
        </w:rPr>
        <w:t xml:space="preserve">mahkemeye erişim hakkı kapsamında yapılmıştır. </w:t>
      </w:r>
    </w:p>
    <w:p w:rsidR="00BF6DEF" w:rsidRPr="00612D3C" w:rsidRDefault="00BF6DEF" w:rsidP="00612D3C">
      <w:pPr>
        <w:pStyle w:val="edf1450279197849"/>
        <w:widowControl/>
        <w:suppressAutoHyphens w:val="0"/>
        <w:spacing w:after="200"/>
        <w:ind w:left="283" w:right="283" w:firstLine="709"/>
        <w:jc w:val="both"/>
        <w:rPr>
          <w:rFonts w:cs="Times New Roman"/>
          <w:color w:val="010000"/>
        </w:rPr>
      </w:pPr>
      <w:r w:rsidRPr="00612D3C">
        <w:rPr>
          <w:rFonts w:cs="Times New Roman"/>
          <w:color w:val="010000"/>
        </w:rPr>
        <w:t>14.</w:t>
      </w:r>
      <w:r w:rsidR="00612D3C" w:rsidRPr="00612D3C">
        <w:rPr>
          <w:rFonts w:cs="Times New Roman"/>
          <w:color w:val="010000"/>
        </w:rPr>
        <w:t xml:space="preserve"> </w:t>
      </w:r>
      <w:r w:rsidRPr="00612D3C">
        <w:rPr>
          <w:rFonts w:cs="Times New Roman"/>
          <w:color w:val="010000"/>
        </w:rPr>
        <w:t>Açıkça dayanaktan yoksun olmadığı ve kabul edilemezliğine karar verilmesini gerektirecek başka bir neden de bulunmadığı anlaşılan mahkemeye erişim hakkının ihlal edildiğine ilişkin iddianın kabul edilebilir olduğuna karar verilmesi gerekir.</w:t>
      </w:r>
    </w:p>
    <w:p w:rsidR="00BF6DEF" w:rsidRPr="00612D3C" w:rsidRDefault="00BF6DEF" w:rsidP="00612D3C">
      <w:pPr>
        <w:widowControl/>
        <w:suppressAutoHyphens w:val="0"/>
        <w:spacing w:after="200"/>
        <w:ind w:left="283" w:right="283" w:firstLine="709"/>
        <w:jc w:val="both"/>
        <w:rPr>
          <w:color w:val="010000"/>
        </w:rPr>
      </w:pPr>
      <w:r w:rsidRPr="00612D3C">
        <w:rPr>
          <w:color w:val="010000"/>
        </w:rPr>
        <w:t>15.</w:t>
      </w:r>
      <w:r w:rsidR="00612D3C" w:rsidRPr="00612D3C">
        <w:rPr>
          <w:color w:val="010000"/>
        </w:rPr>
        <w:t xml:space="preserve"> </w:t>
      </w:r>
      <w:r w:rsidRPr="00612D3C">
        <w:rPr>
          <w:color w:val="010000"/>
        </w:rPr>
        <w:t>Adil yargılanma hakkının en temel unsurlarından biri olan mahkemeye erişim hakkı, bir uyuşmazlığı mahkeme önüne taşıyabilmek ve uyuşmazlığın etkili bir şekilde karara bağlanmasını isteyebilmek anlamına gelir. Kişinin mahkemeye başvurmasını engelleyen veya mahkeme kararını anlamsız hâle getiren, bir başka ifadeyle mahkeme kararını önemli ölçüde etkisizleştiren sınırlamalar mahkemeye erişim hakkını ihlal edebilir (</w:t>
      </w:r>
      <w:r w:rsidRPr="00612D3C">
        <w:rPr>
          <w:i/>
          <w:iCs/>
          <w:color w:val="010000"/>
        </w:rPr>
        <w:t>Özkan Şen</w:t>
      </w:r>
      <w:r w:rsidRPr="00612D3C">
        <w:rPr>
          <w:color w:val="010000"/>
        </w:rPr>
        <w:t xml:space="preserve"> [2. B.], B. No: 2012/791, 7/11/2013, § 52).</w:t>
      </w:r>
    </w:p>
    <w:p w:rsidR="00BF6DEF" w:rsidRPr="00612D3C" w:rsidRDefault="00BF6DEF" w:rsidP="00612D3C">
      <w:pPr>
        <w:widowControl/>
        <w:suppressAutoHyphens w:val="0"/>
        <w:spacing w:after="200"/>
        <w:ind w:left="283" w:right="283" w:firstLine="709"/>
        <w:jc w:val="both"/>
        <w:rPr>
          <w:color w:val="010000"/>
        </w:rPr>
      </w:pPr>
      <w:r w:rsidRPr="00612D3C">
        <w:rPr>
          <w:color w:val="010000"/>
        </w:rPr>
        <w:t>16. Mahkemeye erişim hakkı, mahkemeye başvuru konusunda etkili bir sistemin var olmasını ve dava açmak isteyen kişilerin mahkemeye ulaşmada açık, pratik ve yeterli fırsatlara sahip olmasını gerektirir. Özellikle hukuki ya da uygulamadaki belirsizlikler kişilerin mahkemeye erişim hakkını ihlal edebilir (</w:t>
      </w:r>
      <w:r w:rsidRPr="00612D3C">
        <w:rPr>
          <w:i/>
          <w:iCs/>
          <w:color w:val="010000"/>
        </w:rPr>
        <w:t>Aktif Elektrik Müh. İnş. San. ve Tic. Ltd. Şti.</w:t>
      </w:r>
      <w:r w:rsidRPr="00612D3C">
        <w:rPr>
          <w:color w:val="010000"/>
        </w:rPr>
        <w:t xml:space="preserve"> [1. B.], B. No: 2012/855, 26/6/2014, § 34). Bu nedenle mahkemelerin usul kurallarını uygularken yargılamanın hakkaniyetine zarar getirecek ölçüde katı şekilcilikten kaçınmaları gerektiği gibi kanunla öngörülmüş usul şartlarının ortadan kalkmasına neden olacak ölçüde aşırı esneklikten de kaçınmaları gerekir (</w:t>
      </w:r>
      <w:proofErr w:type="gramStart"/>
      <w:r w:rsidRPr="00612D3C">
        <w:rPr>
          <w:i/>
          <w:iCs/>
          <w:color w:val="010000"/>
        </w:rPr>
        <w:t>Kamil</w:t>
      </w:r>
      <w:proofErr w:type="gramEnd"/>
      <w:r w:rsidRPr="00612D3C">
        <w:rPr>
          <w:i/>
          <w:iCs/>
          <w:color w:val="010000"/>
        </w:rPr>
        <w:t xml:space="preserve"> Koç</w:t>
      </w:r>
      <w:r w:rsidRPr="00612D3C">
        <w:rPr>
          <w:color w:val="010000"/>
        </w:rPr>
        <w:t xml:space="preserve"> [1. B.], B. No: 2012/660, 7/11/2013, § 65). Bu kapsamda mevzuatta öngörülen dava açma süresine ilişkin kuralların hukuka açıkça aykırı olarak yanlış uygulanması veya bu sürelerin hatalı hesaplanması nedenleriyle kişilerin dava açma ya da kanun yollarına başvuru haklarını kullanmasına engel olunması mahkemeye erişim hakkını ihlal edebilir (</w:t>
      </w:r>
      <w:proofErr w:type="spellStart"/>
      <w:r w:rsidRPr="00612D3C">
        <w:rPr>
          <w:i/>
          <w:iCs/>
          <w:color w:val="010000"/>
        </w:rPr>
        <w:t>Özbakım</w:t>
      </w:r>
      <w:proofErr w:type="spellEnd"/>
      <w:r w:rsidRPr="00612D3C">
        <w:rPr>
          <w:i/>
          <w:iCs/>
          <w:color w:val="010000"/>
        </w:rPr>
        <w:t xml:space="preserve"> Özel Sağlık </w:t>
      </w:r>
      <w:proofErr w:type="spellStart"/>
      <w:r w:rsidRPr="00612D3C">
        <w:rPr>
          <w:i/>
          <w:iCs/>
          <w:color w:val="010000"/>
        </w:rPr>
        <w:t>Hiz</w:t>
      </w:r>
      <w:proofErr w:type="spellEnd"/>
      <w:r w:rsidRPr="00612D3C">
        <w:rPr>
          <w:i/>
          <w:iCs/>
          <w:color w:val="010000"/>
        </w:rPr>
        <w:t>. İnş. Tur. San. ve Tic. Ltd. Şti.</w:t>
      </w:r>
      <w:r w:rsidRPr="00612D3C">
        <w:rPr>
          <w:color w:val="010000"/>
        </w:rPr>
        <w:t xml:space="preserve"> [2. B.], B. No: 2014/13156, 20/4/2017, § 38).</w:t>
      </w:r>
    </w:p>
    <w:p w:rsidR="00BF6DEF" w:rsidRPr="00612D3C" w:rsidRDefault="00BF6DEF" w:rsidP="00612D3C">
      <w:pPr>
        <w:widowControl/>
        <w:suppressAutoHyphens w:val="0"/>
        <w:spacing w:after="200"/>
        <w:ind w:left="283" w:right="283" w:firstLine="709"/>
        <w:jc w:val="both"/>
        <w:rPr>
          <w:color w:val="010000"/>
        </w:rPr>
      </w:pPr>
      <w:r w:rsidRPr="00612D3C">
        <w:rPr>
          <w:color w:val="010000"/>
        </w:rPr>
        <w:t>17. Vurgulamak gerekir ki dava açma süresinin hangi tarihte başlayacağını belirlemek ve mevzuatı bu yönüyle yorumlamak görevi esasen yargı mercilerine aittir. Bireysel başvurunun ikincillik ilkesi gereği, dava açma süresinin başlatılacağı tarihin belirlenmesi noktasında Anayasa Mahkemesinin bir görevi bulunmamaktadır. Anayasa Mahkemesinin bu hususta üstleneceği rol, dava açma süresinin hangi tarihten itibaren başlatılması gerektiğiyle ilgili yargı mercilerinin yorumlarının mahkemeye erişim hakkına etkisini somut olayın şartları ışığında incelemektir (</w:t>
      </w:r>
      <w:r w:rsidRPr="00612D3C">
        <w:rPr>
          <w:i/>
          <w:iCs/>
          <w:color w:val="010000"/>
        </w:rPr>
        <w:t>Ahmet Yıldırım</w:t>
      </w:r>
      <w:r w:rsidRPr="00612D3C">
        <w:rPr>
          <w:color w:val="010000"/>
        </w:rPr>
        <w:t xml:space="preserve"> [1. B.], B. No: 2014/18135, 20/9/2017, § 46).</w:t>
      </w:r>
    </w:p>
    <w:p w:rsidR="00BF6DEF" w:rsidRPr="00612D3C" w:rsidRDefault="00BF6DEF" w:rsidP="00612D3C">
      <w:pPr>
        <w:widowControl/>
        <w:suppressAutoHyphens w:val="0"/>
        <w:spacing w:after="200"/>
        <w:ind w:left="283" w:right="283" w:firstLine="709"/>
        <w:jc w:val="both"/>
        <w:rPr>
          <w:color w:val="010000"/>
        </w:rPr>
      </w:pPr>
      <w:r w:rsidRPr="00612D3C">
        <w:rPr>
          <w:color w:val="010000"/>
        </w:rPr>
        <w:t>18.</w:t>
      </w:r>
      <w:r w:rsidR="00612D3C" w:rsidRPr="00612D3C">
        <w:rPr>
          <w:color w:val="010000"/>
        </w:rPr>
        <w:t xml:space="preserve"> </w:t>
      </w:r>
      <w:r w:rsidRPr="00612D3C">
        <w:rPr>
          <w:color w:val="010000"/>
        </w:rPr>
        <w:t>Başvurucular tarafından açılan davanın İdare Mahkemesince, süresinde olmadığı gerekçesiyle reddedilmesinin mahkemeye erişim hakkına müdahale oluşturduğu açıktır. Bu sebeple müdahalenin Anayasa'nın 13. maddesinde öngörülen ve somut başvuruya uygun düşen, kanun tarafından öngörülme, haklı bir sebebe dayanma, ölçülülük ilkesine aykırı olmama şartlarına uygun olup olmadığının belirlenmesi gerekir.</w:t>
      </w:r>
    </w:p>
    <w:p w:rsidR="00BF6DEF" w:rsidRPr="00612D3C" w:rsidRDefault="00BF6DEF" w:rsidP="00612D3C">
      <w:pPr>
        <w:pStyle w:val="edf1450279197849"/>
        <w:widowControl/>
        <w:suppressAutoHyphens w:val="0"/>
        <w:spacing w:after="200"/>
        <w:ind w:left="283" w:right="283" w:firstLine="709"/>
        <w:jc w:val="both"/>
        <w:rPr>
          <w:rFonts w:cs="Times New Roman"/>
          <w:color w:val="010000"/>
        </w:rPr>
      </w:pPr>
      <w:r w:rsidRPr="00612D3C">
        <w:rPr>
          <w:rFonts w:cs="Times New Roman"/>
          <w:color w:val="010000"/>
        </w:rPr>
        <w:t>19.</w:t>
      </w:r>
      <w:r w:rsidR="00612D3C" w:rsidRPr="00612D3C">
        <w:rPr>
          <w:rFonts w:cs="Times New Roman"/>
          <w:color w:val="010000"/>
        </w:rPr>
        <w:t xml:space="preserve"> </w:t>
      </w:r>
      <w:r w:rsidRPr="00612D3C">
        <w:rPr>
          <w:rFonts w:cs="Times New Roman"/>
          <w:color w:val="010000"/>
        </w:rPr>
        <w:t xml:space="preserve">Somut olayda mahkemeye erişim hakkına davanın süre yönünden reddi suretiyle yapılan müdahalenin kanuni dayanağa sahip olduğu ve sınırlamanın meşru amacının bulunduğu (idari işlem ya da eylemlere karşı açılacak davalarda süre şartı öngörülmesinin en genel ifadeyle idari istikrarın sağlanması şeklinde bir meşru amaca hizmet ettiği yönünde ayrıntılı değerlendirme için bkz. </w:t>
      </w:r>
      <w:r w:rsidRPr="00612D3C">
        <w:rPr>
          <w:rFonts w:cs="Times New Roman"/>
          <w:i/>
          <w:iCs/>
          <w:color w:val="010000"/>
        </w:rPr>
        <w:t>Ayşe Yıldırım</w:t>
      </w:r>
      <w:r w:rsidRPr="00612D3C">
        <w:rPr>
          <w:rFonts w:cs="Times New Roman"/>
          <w:color w:val="010000"/>
        </w:rPr>
        <w:t xml:space="preserve"> [1. B.], B. No: 2014/5, 25/10/2017, §§ 54,55; </w:t>
      </w:r>
      <w:r w:rsidRPr="00612D3C">
        <w:rPr>
          <w:rFonts w:cs="Times New Roman"/>
          <w:i/>
          <w:iCs/>
          <w:color w:val="010000"/>
        </w:rPr>
        <w:t xml:space="preserve">Fatma </w:t>
      </w:r>
      <w:proofErr w:type="spellStart"/>
      <w:r w:rsidRPr="00612D3C">
        <w:rPr>
          <w:rFonts w:cs="Times New Roman"/>
          <w:i/>
          <w:iCs/>
          <w:color w:val="010000"/>
        </w:rPr>
        <w:t>Altuner</w:t>
      </w:r>
      <w:proofErr w:type="spellEnd"/>
      <w:r w:rsidRPr="00612D3C">
        <w:rPr>
          <w:rFonts w:cs="Times New Roman"/>
          <w:color w:val="010000"/>
        </w:rPr>
        <w:t xml:space="preserve"> [2. B.], B. No: 2014/17714, 26/10/2017, §§ 48,49;</w:t>
      </w:r>
      <w:r w:rsidRPr="00612D3C">
        <w:rPr>
          <w:rFonts w:cs="Times New Roman"/>
          <w:i/>
          <w:iCs/>
          <w:color w:val="010000"/>
        </w:rPr>
        <w:t xml:space="preserve"> </w:t>
      </w:r>
      <w:proofErr w:type="spellStart"/>
      <w:r w:rsidRPr="00612D3C">
        <w:rPr>
          <w:rFonts w:cs="Times New Roman"/>
          <w:i/>
          <w:iCs/>
          <w:color w:val="010000"/>
        </w:rPr>
        <w:t>Çölbeyi</w:t>
      </w:r>
      <w:proofErr w:type="spellEnd"/>
      <w:r w:rsidRPr="00612D3C">
        <w:rPr>
          <w:rFonts w:cs="Times New Roman"/>
          <w:i/>
          <w:iCs/>
          <w:color w:val="010000"/>
        </w:rPr>
        <w:t xml:space="preserve"> Lojistik Nakliyat Gümrükleme Denizcilik İnşaat Turizm Sanayii ve Ticaret Limited Şirketi</w:t>
      </w:r>
      <w:r w:rsidRPr="00612D3C">
        <w:rPr>
          <w:rFonts w:cs="Times New Roman"/>
          <w:color w:val="010000"/>
        </w:rPr>
        <w:t xml:space="preserve"> [1. B.], B. No: 2014/12354, 9/11/2017, § 52) anlaşılmıştır.</w:t>
      </w:r>
    </w:p>
    <w:p w:rsidR="00BF6DEF" w:rsidRPr="00612D3C" w:rsidRDefault="00BF6DEF" w:rsidP="00612D3C">
      <w:pPr>
        <w:pStyle w:val="edf1450279197849"/>
        <w:widowControl/>
        <w:suppressAutoHyphens w:val="0"/>
        <w:spacing w:after="200"/>
        <w:ind w:left="283" w:right="283" w:firstLine="709"/>
        <w:jc w:val="both"/>
        <w:rPr>
          <w:rFonts w:cs="Times New Roman"/>
          <w:color w:val="010000"/>
        </w:rPr>
      </w:pPr>
      <w:r w:rsidRPr="00612D3C">
        <w:rPr>
          <w:rFonts w:cs="Times New Roman"/>
          <w:color w:val="010000"/>
        </w:rPr>
        <w:t xml:space="preserve">20. Kanunilik ve meşru amaç şartlarını sağladığı anlaşılan mahkemeye erişim hakkına yönelik müdahale, ölçülülük ilkesi bakımından da değerlendirilmelidir. Ölçülülük ilkesi elverişlilik, gereklilik ve orantılılık olmak üzere üç alt ilkeden oluşmaktadır. </w:t>
      </w:r>
      <w:r w:rsidRPr="00612D3C">
        <w:rPr>
          <w:rFonts w:cs="Times New Roman"/>
          <w:i/>
          <w:iCs/>
          <w:color w:val="010000"/>
        </w:rPr>
        <w:t>Elverişlilik</w:t>
      </w:r>
      <w:r w:rsidRPr="00612D3C">
        <w:rPr>
          <w:rFonts w:cs="Times New Roman"/>
          <w:color w:val="010000"/>
        </w:rPr>
        <w:t xml:space="preserve"> öngörülen müdahalenin ulaşılmak istenen amacı gerçekleştirmeye elverişli olmasını, </w:t>
      </w:r>
      <w:r w:rsidRPr="00612D3C">
        <w:rPr>
          <w:rFonts w:cs="Times New Roman"/>
          <w:i/>
          <w:iCs/>
          <w:color w:val="010000"/>
        </w:rPr>
        <w:t>gereklilik</w:t>
      </w:r>
      <w:r w:rsidRPr="00612D3C">
        <w:rPr>
          <w:rFonts w:cs="Times New Roman"/>
          <w:color w:val="010000"/>
        </w:rPr>
        <w:t xml:space="preserve"> ulaşılmak istenen amaç bakımından müdahalenin zorunlu olmasını yani aynı amaca daha hafif bir müdahale ile ulaşılmasının mümkün olmamasını,</w:t>
      </w:r>
      <w:r w:rsidRPr="00612D3C">
        <w:rPr>
          <w:rFonts w:cs="Times New Roman"/>
          <w:i/>
          <w:iCs/>
          <w:color w:val="010000"/>
        </w:rPr>
        <w:t xml:space="preserve"> orantılılık</w:t>
      </w:r>
      <w:r w:rsidRPr="00612D3C">
        <w:rPr>
          <w:rFonts w:cs="Times New Roman"/>
          <w:color w:val="010000"/>
        </w:rPr>
        <w:t xml:space="preserve"> ise bireyin hakkına yapılan müdahale ile ulaşılmak istenen amaç arasında makul bir dengenin gözetilmesi gerekliliğini ifade etmektedir (AYM, E.2011/111, K.2012/56, 11/4/2012; E.2013/66, K.2014/19, 29/1/2014; E.2016/16, K.2016/37, 5/5/2016; </w:t>
      </w:r>
      <w:r w:rsidRPr="00612D3C">
        <w:rPr>
          <w:rFonts w:cs="Times New Roman"/>
          <w:i/>
          <w:iCs/>
          <w:color w:val="010000"/>
        </w:rPr>
        <w:t>Mehmet Akdoğan ve diğerleri</w:t>
      </w:r>
      <w:r w:rsidRPr="00612D3C">
        <w:rPr>
          <w:rFonts w:cs="Times New Roman"/>
          <w:color w:val="010000"/>
        </w:rPr>
        <w:t xml:space="preserve"> [1. B.], B. No: 2013/817, 19/12/2013, § 38).</w:t>
      </w:r>
    </w:p>
    <w:p w:rsidR="00BF6DEF" w:rsidRPr="00612D3C" w:rsidRDefault="00BF6DEF" w:rsidP="00612D3C">
      <w:pPr>
        <w:pStyle w:val="edf1450279197849"/>
        <w:widowControl/>
        <w:suppressAutoHyphens w:val="0"/>
        <w:spacing w:after="200"/>
        <w:ind w:left="283" w:right="283" w:firstLine="709"/>
        <w:jc w:val="both"/>
        <w:rPr>
          <w:rFonts w:cs="Times New Roman"/>
          <w:color w:val="010000"/>
        </w:rPr>
      </w:pPr>
      <w:r w:rsidRPr="00612D3C">
        <w:rPr>
          <w:rFonts w:cs="Times New Roman"/>
          <w:color w:val="010000"/>
        </w:rPr>
        <w:t>21. Hak arama özgürlüğünün bağlandığı usul kurallarına uyulmaması nedeniyle uyuşmazlıkların esası hakkında karar verilmemesi suretiyle mahkemeye erişim hakkına yapılan müdahalenin idari istikrarın sağlanması amacının gerçekleştirilmesi bakımından elverişli ve gerekli olduğu söylenebilir. Somut olaydaki müdahalenin ölçülülüğünün değerlendirilmesi bakımından asıl üzerinde durulması gereken husus ise müdahalenin orantılı olup olmadığıdır.</w:t>
      </w:r>
    </w:p>
    <w:p w:rsidR="00BF6DEF" w:rsidRPr="00612D3C" w:rsidRDefault="00BF6DEF" w:rsidP="00612D3C">
      <w:pPr>
        <w:pStyle w:val="edf1450279197849"/>
        <w:widowControl/>
        <w:suppressAutoHyphens w:val="0"/>
        <w:spacing w:after="200"/>
        <w:ind w:left="283" w:right="283" w:firstLine="709"/>
        <w:jc w:val="both"/>
        <w:rPr>
          <w:rFonts w:cs="Times New Roman"/>
          <w:color w:val="010000"/>
        </w:rPr>
      </w:pPr>
      <w:r w:rsidRPr="00612D3C">
        <w:rPr>
          <w:rFonts w:cs="Times New Roman"/>
          <w:color w:val="010000"/>
        </w:rPr>
        <w:t>22.</w:t>
      </w:r>
      <w:r w:rsidR="00612D3C" w:rsidRPr="00612D3C">
        <w:rPr>
          <w:rFonts w:cs="Times New Roman"/>
          <w:color w:val="010000"/>
        </w:rPr>
        <w:t xml:space="preserve"> </w:t>
      </w:r>
      <w:r w:rsidRPr="00612D3C">
        <w:rPr>
          <w:rFonts w:cs="Times New Roman"/>
          <w:color w:val="010000"/>
        </w:rPr>
        <w:t xml:space="preserve">Eldeki başvuruya konu yargılama sürecinde İdare Mahkemesi, meydana gelen ölüm olayı ile buna neden olan eylemin patlamanın gerçekleştiği 11/5/2013 tarihinde öğrenilip 21/6/2013 tarihinde </w:t>
      </w:r>
      <w:proofErr w:type="spellStart"/>
      <w:r w:rsidRPr="00612D3C">
        <w:rPr>
          <w:rFonts w:cs="Times New Roman"/>
          <w:color w:val="010000"/>
        </w:rPr>
        <w:t>sulhname</w:t>
      </w:r>
      <w:proofErr w:type="spellEnd"/>
      <w:r w:rsidRPr="00612D3C">
        <w:rPr>
          <w:rFonts w:cs="Times New Roman"/>
          <w:color w:val="010000"/>
        </w:rPr>
        <w:t xml:space="preserve"> imzalandığı ve bu tarihlerden itibaren mevzuatta belirtilen süreler aşıldıktan </w:t>
      </w:r>
      <w:r w:rsidRPr="00612D3C">
        <w:rPr>
          <w:rFonts w:cs="Times New Roman"/>
          <w:color w:val="010000"/>
        </w:rPr>
        <w:lastRenderedPageBreak/>
        <w:t xml:space="preserve">sonra yapılan idari başvuru üzerine açılan davanın süresinde olmadığı gerekçesine yer vererek davayı reddetmiştir. Başvurucular, idarenin kusurlu olduğunu ve emniyet birimlerinin olayda ihmali bulunduğunu ceza davası ile öğrendiklerini belirterek idari başvuru süresinin başlangıç tarihi olarak ölüm olayının gerçekleştiği tarihin esas alınmasının mahkemeye erişim hakkını ihlal ettiğini ileri sürmüştür. </w:t>
      </w:r>
    </w:p>
    <w:p w:rsidR="00BF6DEF" w:rsidRPr="00612D3C" w:rsidRDefault="00BF6DEF" w:rsidP="00612D3C">
      <w:pPr>
        <w:widowControl/>
        <w:suppressAutoHyphens w:val="0"/>
        <w:spacing w:after="200"/>
        <w:ind w:left="283" w:right="283" w:firstLine="709"/>
        <w:jc w:val="both"/>
        <w:rPr>
          <w:color w:val="010000"/>
        </w:rPr>
      </w:pPr>
      <w:r w:rsidRPr="00612D3C">
        <w:rPr>
          <w:color w:val="010000"/>
        </w:rPr>
        <w:t>23.</w:t>
      </w:r>
      <w:r w:rsidR="00612D3C" w:rsidRPr="00612D3C">
        <w:rPr>
          <w:color w:val="010000"/>
        </w:rPr>
        <w:t xml:space="preserve"> </w:t>
      </w:r>
      <w:r w:rsidRPr="00612D3C">
        <w:rPr>
          <w:color w:val="010000"/>
        </w:rPr>
        <w:t xml:space="preserve">Anayasa Mahkemesince daha önce benzer nitelikte başvurularda da belirtildiği üzere idari eylem nedeniyle uğranılan zararın tazmini talebiyle açılan tam yargı davasında idarenin tazminle yükümlü tutulabilmesi için ortada idari eylem ve zarar olmalı, ayrıca zararla idari eylem arasında illiyet bağı bulunmalıdır. Söz konusu eylemlerin </w:t>
      </w:r>
      <w:proofErr w:type="spellStart"/>
      <w:r w:rsidRPr="00612D3C">
        <w:rPr>
          <w:color w:val="010000"/>
        </w:rPr>
        <w:t>idariliği</w:t>
      </w:r>
      <w:proofErr w:type="spellEnd"/>
      <w:r w:rsidRPr="00612D3C">
        <w:rPr>
          <w:color w:val="010000"/>
        </w:rPr>
        <w:t xml:space="preserve"> ve doğurduğu zarar bazen eylemin yapılmasıyla birlikte ortaya çıkarken bazen de çok sonra değişik araştırma, inceleme ve hatta ceza yargılamaları sonucu ortaya çıkabilmektedir (</w:t>
      </w:r>
      <w:r w:rsidRPr="00612D3C">
        <w:rPr>
          <w:i/>
          <w:iCs/>
          <w:color w:val="010000"/>
        </w:rPr>
        <w:t>Şeyma Kayaoğlu</w:t>
      </w:r>
      <w:r w:rsidRPr="00612D3C">
        <w:rPr>
          <w:color w:val="010000"/>
        </w:rPr>
        <w:t xml:space="preserve"> [2. B.], B. No: 2014/5491, 5/7/2017, §§ 55,56).</w:t>
      </w:r>
    </w:p>
    <w:p w:rsidR="00BF6DEF" w:rsidRPr="00612D3C" w:rsidRDefault="00BF6DEF" w:rsidP="00612D3C">
      <w:pPr>
        <w:widowControl/>
        <w:suppressAutoHyphens w:val="0"/>
        <w:spacing w:after="200"/>
        <w:ind w:left="283" w:right="283" w:firstLine="709"/>
        <w:jc w:val="both"/>
        <w:rPr>
          <w:color w:val="010000"/>
        </w:rPr>
      </w:pPr>
      <w:r w:rsidRPr="00612D3C">
        <w:rPr>
          <w:color w:val="010000"/>
        </w:rPr>
        <w:t>24. İdariliğin veya meydana gelen zararın ya da aralarındaki illiyet bağının eylemden sonra anlaşıldığı veya ortaya konulabildiği durumlarda dava açma süresinin hak sahibinin henüz dava hakkının doğduğundan haberdar olmadığı ve somut şartlar çerçevesinde haberdar olduğunun kabulünü haklı kılan nedenlerin bulunmadığı bir dönemde işlemeye başlaması dava hakkının varlığını anlamsız kılıp ölçülülük ilkesini zedeleyebilir (</w:t>
      </w:r>
      <w:r w:rsidRPr="00612D3C">
        <w:rPr>
          <w:i/>
          <w:iCs/>
          <w:color w:val="010000"/>
        </w:rPr>
        <w:t>Yaşar Çoban</w:t>
      </w:r>
      <w:r w:rsidRPr="00612D3C">
        <w:rPr>
          <w:color w:val="010000"/>
        </w:rPr>
        <w:t xml:space="preserve"> [GK], B. No: 2014/6673, 25/7/2017, § 66). Bu nedenle eylemin idariliğinin veya yol açtığı zararın ya da illiyet bağının eylemden sonra anlaşıldığı veya ortaya konulabildiği durumlarda dava açma süresinin bu tarihlerden sonra başlayacağı kabul edilmektedir (</w:t>
      </w:r>
      <w:r w:rsidRPr="00612D3C">
        <w:rPr>
          <w:i/>
          <w:iCs/>
          <w:color w:val="010000"/>
        </w:rPr>
        <w:t>Şeyma Kayaoğlu</w:t>
      </w:r>
      <w:r w:rsidRPr="00612D3C">
        <w:rPr>
          <w:color w:val="010000"/>
        </w:rPr>
        <w:t>, § 55).</w:t>
      </w:r>
    </w:p>
    <w:p w:rsidR="00BF6DEF" w:rsidRPr="00612D3C" w:rsidRDefault="00BF6DEF" w:rsidP="00612D3C">
      <w:pPr>
        <w:pStyle w:val="edf1449480327858"/>
        <w:widowControl/>
        <w:suppressAutoHyphens w:val="0"/>
        <w:spacing w:after="200"/>
        <w:ind w:left="283" w:right="283" w:firstLine="709"/>
        <w:jc w:val="both"/>
        <w:rPr>
          <w:rFonts w:cs="Times New Roman"/>
          <w:color w:val="010000"/>
        </w:rPr>
      </w:pPr>
      <w:r w:rsidRPr="00612D3C">
        <w:rPr>
          <w:rFonts w:cs="Times New Roman"/>
          <w:color w:val="010000"/>
        </w:rPr>
        <w:t xml:space="preserve">25. Somut olayda ölümün 11/5/2013 tarihinde meydana gelen terör saldırısı sonucu gerçekleştiği konusunda tereddüt bulunmamaktadır. Ancak olayda idarenin kusurunun bulunması durumunun İçişleri Bakanlığı tarafından yapılan inceleme, akabinde gerçekleşen soruşturma izni verilmesi işlemleri ve olayda ihmali/kusuru bulunduğu düşünülen emniyet görevlileri hakkında 19/1/2015 tarihinde açılan ceza davası ile açığa çıktığı görülmüştür. Dolayısıyla başvurucuların anılan süreçten önce ölüm olayına sebebiyet veren olguya dair ihmale, eylemsizliğe ve dolayısıyla eylemin </w:t>
      </w:r>
      <w:proofErr w:type="spellStart"/>
      <w:r w:rsidRPr="00612D3C">
        <w:rPr>
          <w:rFonts w:cs="Times New Roman"/>
          <w:color w:val="010000"/>
        </w:rPr>
        <w:t>idariliğine</w:t>
      </w:r>
      <w:proofErr w:type="spellEnd"/>
      <w:r w:rsidRPr="00612D3C">
        <w:rPr>
          <w:rFonts w:cs="Times New Roman"/>
          <w:color w:val="010000"/>
        </w:rPr>
        <w:t xml:space="preserve"> ilişkin bir bilgiye, veriye sahip olmadıkları anlaşılmıştır. Bu bağlamda başvurucuların yakınlarının ölümüne neden olan terör saldırısında idarenin kusur doğurabilecek eylemsizliğini (önlem almama hâli) ve zararla idari eylemsizlik arasında illiyet bağı olduğunu meydana gelen ölüm olayıyla derhâl öğrendiklerinden söz edilemez (benzer yöndeki Avrupa İnsan Hakları Mahkemesi değerlendirmesi için bkz. </w:t>
      </w:r>
      <w:r w:rsidRPr="00612D3C">
        <w:rPr>
          <w:rFonts w:cs="Times New Roman"/>
          <w:i/>
          <w:iCs/>
          <w:color w:val="010000"/>
        </w:rPr>
        <w:t>Kurşun/</w:t>
      </w:r>
      <w:proofErr w:type="spellStart"/>
      <w:proofErr w:type="gramStart"/>
      <w:r w:rsidRPr="00612D3C">
        <w:rPr>
          <w:rFonts w:cs="Times New Roman"/>
          <w:i/>
          <w:iCs/>
          <w:color w:val="010000"/>
        </w:rPr>
        <w:t>Türkiye</w:t>
      </w:r>
      <w:r w:rsidRPr="00612D3C">
        <w:rPr>
          <w:rFonts w:cs="Times New Roman"/>
          <w:color w:val="010000"/>
        </w:rPr>
        <w:t>,B</w:t>
      </w:r>
      <w:proofErr w:type="spellEnd"/>
      <w:r w:rsidRPr="00612D3C">
        <w:rPr>
          <w:rFonts w:cs="Times New Roman"/>
          <w:color w:val="010000"/>
        </w:rPr>
        <w:t>.</w:t>
      </w:r>
      <w:proofErr w:type="gramEnd"/>
      <w:r w:rsidRPr="00612D3C">
        <w:rPr>
          <w:rFonts w:cs="Times New Roman"/>
          <w:color w:val="010000"/>
        </w:rPr>
        <w:t xml:space="preserve"> No: 22677/10, 30/10/2018, §§ 101-106).</w:t>
      </w:r>
    </w:p>
    <w:p w:rsidR="00BF6DEF" w:rsidRPr="00612D3C" w:rsidRDefault="00BF6DEF" w:rsidP="00612D3C">
      <w:pPr>
        <w:widowControl/>
        <w:suppressAutoHyphens w:val="0"/>
        <w:spacing w:after="200"/>
        <w:ind w:left="283" w:right="283" w:firstLine="709"/>
        <w:jc w:val="both"/>
        <w:rPr>
          <w:color w:val="010000"/>
        </w:rPr>
      </w:pPr>
      <w:r w:rsidRPr="00612D3C">
        <w:rPr>
          <w:color w:val="010000"/>
        </w:rPr>
        <w:t>26.</w:t>
      </w:r>
      <w:r w:rsidR="00612D3C" w:rsidRPr="00612D3C">
        <w:rPr>
          <w:color w:val="010000"/>
        </w:rPr>
        <w:t xml:space="preserve"> </w:t>
      </w:r>
      <w:r w:rsidRPr="00612D3C">
        <w:rPr>
          <w:color w:val="010000"/>
        </w:rPr>
        <w:t>Bu itibarla olayın gerçekleştiği 11/5/2013 tarihi esas alınarak başvurucuların uğradıkları zararla ilgili idari başvuru yapmak suretiyle dava açmalarının beklenmesi başvuruculara orantısız bir külfet yüklemektedir.</w:t>
      </w:r>
    </w:p>
    <w:p w:rsidR="00BF6DEF" w:rsidRPr="00612D3C" w:rsidRDefault="00BF6DEF" w:rsidP="00612D3C">
      <w:pPr>
        <w:pStyle w:val="edf1449480327858"/>
        <w:widowControl/>
        <w:suppressAutoHyphens w:val="0"/>
        <w:spacing w:after="200"/>
        <w:ind w:left="283" w:right="283" w:firstLine="709"/>
        <w:jc w:val="both"/>
        <w:rPr>
          <w:rFonts w:cs="Times New Roman"/>
          <w:color w:val="010000"/>
        </w:rPr>
      </w:pPr>
      <w:r w:rsidRPr="00612D3C">
        <w:rPr>
          <w:rFonts w:cs="Times New Roman"/>
          <w:color w:val="010000"/>
        </w:rPr>
        <w:t>27.</w:t>
      </w:r>
      <w:r w:rsidR="00612D3C" w:rsidRPr="00612D3C">
        <w:rPr>
          <w:rFonts w:cs="Times New Roman"/>
          <w:color w:val="010000"/>
        </w:rPr>
        <w:t xml:space="preserve"> </w:t>
      </w:r>
      <w:r w:rsidRPr="00612D3C">
        <w:rPr>
          <w:rFonts w:cs="Times New Roman"/>
          <w:color w:val="010000"/>
        </w:rPr>
        <w:t>Bu hâle göre İdare Mahkemesinin dava açma süresinin başlangıç tarihine ilişkin</w:t>
      </w:r>
      <w:r w:rsidR="00612D3C">
        <w:rPr>
          <w:rFonts w:cs="Times New Roman"/>
          <w:color w:val="010000"/>
        </w:rPr>
        <w:t xml:space="preserve"> </w:t>
      </w:r>
      <w:r w:rsidRPr="00612D3C">
        <w:rPr>
          <w:rFonts w:cs="Times New Roman"/>
          <w:color w:val="010000"/>
        </w:rPr>
        <w:t>yorumunun başvurucuların mahkemeye erişim hakkına yönelik katı bir yorum olduğu ve bu yorumun başvurucuların mahkemeye erişim hakkını aşırı derecede güçleştirerek neredeyse imkânsız hâle getirdiği değerlendirilmiştir. Bu nedenle davanın süre aşımından reddedilmesi suretiyle başvurucuların mahkemeye erişim hakkına yönelik müdahalenin ölçüsüz olduğu sonucuna varılmıştır.</w:t>
      </w:r>
    </w:p>
    <w:p w:rsidR="00BF6DEF" w:rsidRPr="00612D3C" w:rsidRDefault="00BF6DEF" w:rsidP="00612D3C">
      <w:pPr>
        <w:pStyle w:val="edf1449480327858"/>
        <w:widowControl/>
        <w:suppressAutoHyphens w:val="0"/>
        <w:spacing w:after="200"/>
        <w:ind w:left="283" w:right="283" w:firstLine="709"/>
        <w:jc w:val="both"/>
        <w:rPr>
          <w:rFonts w:cs="Times New Roman"/>
          <w:color w:val="010000"/>
        </w:rPr>
      </w:pPr>
      <w:r w:rsidRPr="00612D3C">
        <w:rPr>
          <w:rFonts w:cs="Times New Roman"/>
          <w:color w:val="010000"/>
        </w:rPr>
        <w:t>28.</w:t>
      </w:r>
      <w:r w:rsidR="00612D3C" w:rsidRPr="00612D3C">
        <w:rPr>
          <w:rFonts w:cs="Times New Roman"/>
          <w:color w:val="010000"/>
        </w:rPr>
        <w:t xml:space="preserve"> </w:t>
      </w:r>
      <w:r w:rsidRPr="00612D3C">
        <w:rPr>
          <w:rFonts w:cs="Times New Roman"/>
          <w:color w:val="010000"/>
        </w:rPr>
        <w:t>Açıklanan gerekçelerle Anayasa'nın 36. maddesinde güvence altına alınan adil yargılanma hakkı kapsamındaki mahkemeye erişim hakkının ihlal edildiğine karar verilmesi gerekir.</w:t>
      </w:r>
    </w:p>
    <w:p w:rsidR="00BF6DEF" w:rsidRPr="00612D3C" w:rsidRDefault="00BF6DEF" w:rsidP="00612D3C">
      <w:pPr>
        <w:widowControl/>
        <w:suppressAutoHyphens w:val="0"/>
        <w:spacing w:after="200"/>
        <w:ind w:left="283" w:right="283" w:firstLine="709"/>
        <w:jc w:val="both"/>
        <w:rPr>
          <w:color w:val="010000"/>
        </w:rPr>
      </w:pPr>
      <w:r w:rsidRPr="00612D3C">
        <w:rPr>
          <w:color w:val="010000"/>
        </w:rPr>
        <w:t>29.</w:t>
      </w:r>
      <w:r w:rsidR="00612D3C" w:rsidRPr="00612D3C">
        <w:rPr>
          <w:color w:val="010000"/>
        </w:rPr>
        <w:t xml:space="preserve"> </w:t>
      </w:r>
      <w:r w:rsidRPr="00612D3C">
        <w:rPr>
          <w:color w:val="010000"/>
        </w:rPr>
        <w:t xml:space="preserve">Başvurucular, yaşam hakkının da ihlal edildiğini ileri sürmüşse de adil yargılanma hakkı kapsamındaki mahkemeye erişim hakkı yönünden ulaşılan sonuç gözetilerek söz konusu ihlal iddiası yönünden ayrıca inceleme yapılmasına gerek olmadığına karar verilmesi gerekir. </w:t>
      </w:r>
    </w:p>
    <w:p w:rsidR="00BF6DEF" w:rsidRPr="00612D3C" w:rsidRDefault="00BF6DEF" w:rsidP="00612D3C">
      <w:pPr>
        <w:pStyle w:val="edf1450279197849"/>
        <w:widowControl/>
        <w:suppressAutoHyphens w:val="0"/>
        <w:spacing w:after="200"/>
        <w:ind w:left="283" w:right="283" w:firstLine="709"/>
        <w:jc w:val="both"/>
        <w:rPr>
          <w:rFonts w:cs="Times New Roman"/>
          <w:color w:val="010000"/>
        </w:rPr>
      </w:pPr>
      <w:r w:rsidRPr="00612D3C">
        <w:rPr>
          <w:rFonts w:cs="Times New Roman"/>
          <w:b/>
          <w:color w:val="010000"/>
        </w:rPr>
        <w:t>III.</w:t>
      </w:r>
      <w:r w:rsidR="00612D3C" w:rsidRPr="00612D3C">
        <w:rPr>
          <w:rFonts w:cs="Times New Roman"/>
          <w:color w:val="010000"/>
        </w:rPr>
        <w:t xml:space="preserve"> </w:t>
      </w:r>
      <w:r w:rsidRPr="00612D3C">
        <w:rPr>
          <w:rFonts w:cs="Times New Roman"/>
          <w:b/>
          <w:color w:val="010000"/>
        </w:rPr>
        <w:t>GİDERİM</w:t>
      </w:r>
    </w:p>
    <w:p w:rsidR="00BF6DEF" w:rsidRPr="00612D3C" w:rsidRDefault="00BF6DEF" w:rsidP="00612D3C">
      <w:pPr>
        <w:pStyle w:val="edf1450279197849"/>
        <w:widowControl/>
        <w:suppressAutoHyphens w:val="0"/>
        <w:spacing w:after="200"/>
        <w:ind w:left="283" w:right="283" w:firstLine="709"/>
        <w:jc w:val="both"/>
        <w:rPr>
          <w:rFonts w:cs="Times New Roman"/>
          <w:color w:val="010000"/>
        </w:rPr>
      </w:pPr>
      <w:r w:rsidRPr="00612D3C">
        <w:rPr>
          <w:rFonts w:cs="Times New Roman"/>
          <w:color w:val="010000"/>
        </w:rPr>
        <w:t>30.</w:t>
      </w:r>
      <w:r w:rsidR="00612D3C" w:rsidRPr="00612D3C">
        <w:rPr>
          <w:rFonts w:cs="Times New Roman"/>
          <w:color w:val="010000"/>
        </w:rPr>
        <w:t xml:space="preserve"> </w:t>
      </w:r>
      <w:r w:rsidRPr="00612D3C">
        <w:rPr>
          <w:rFonts w:cs="Times New Roman"/>
          <w:color w:val="010000"/>
        </w:rPr>
        <w:t>Başvurucular; ihlalin tespiti ile yeniden yargılama yapılması ve her biri için ayrı ayrı 100.000 TL</w:t>
      </w:r>
      <w:r w:rsidR="00612D3C">
        <w:rPr>
          <w:rFonts w:cs="Times New Roman"/>
          <w:color w:val="010000"/>
        </w:rPr>
        <w:t xml:space="preserve"> </w:t>
      </w:r>
      <w:bookmarkStart w:id="0" w:name="_GoBack"/>
      <w:bookmarkEnd w:id="0"/>
      <w:r w:rsidRPr="00612D3C">
        <w:rPr>
          <w:rFonts w:cs="Times New Roman"/>
          <w:color w:val="010000"/>
        </w:rPr>
        <w:t>tazminat talebinde bulunmuştur.</w:t>
      </w:r>
    </w:p>
    <w:p w:rsidR="00BF6DEF" w:rsidRPr="00612D3C" w:rsidRDefault="00BF6DEF" w:rsidP="00612D3C">
      <w:pPr>
        <w:widowControl/>
        <w:suppressAutoHyphens w:val="0"/>
        <w:spacing w:after="200"/>
        <w:ind w:left="283" w:right="283" w:firstLine="709"/>
        <w:jc w:val="both"/>
        <w:rPr>
          <w:color w:val="010000"/>
        </w:rPr>
      </w:pPr>
      <w:r w:rsidRPr="00612D3C">
        <w:rPr>
          <w:color w:val="010000"/>
        </w:rPr>
        <w:t>31.</w:t>
      </w:r>
      <w:r w:rsidR="00612D3C" w:rsidRPr="00612D3C">
        <w:rPr>
          <w:color w:val="010000"/>
        </w:rPr>
        <w:t xml:space="preserve"> </w:t>
      </w:r>
      <w:r w:rsidRPr="00612D3C">
        <w:rPr>
          <w:color w:val="010000"/>
        </w:rPr>
        <w:t xml:space="preserve">Başvuruda tespit edilen anayasal hak ihlalinin sonuçlarının ortadan kaldırılması için yeniden yargılama yapılmasında hukuki yarar ve zorunluluk bulunmaktadır. Anayasa'nın 148. ve 153. maddeleri ile 30/3/2011 tarihli ve 6216 sayılı Anayasa Mahkemesinin Kuruluşu ve Yargılama Usulleri Hakkında Kanun'un 50. ve 66. maddeleri uyarınca ihlal kararının gönderildiği yargı mercilerince yapılması gereken iş, yeniden yargılama işlemlerini başlatıp Anayasa Mahkemesinin ihlal kararında belirtilen ilkelere ve gerekçelere uygun biçimde yürütülecek yargılama sonunda hak ihlalinin nedenlerini gidererek yeni bir karar vermektir (yeniden yargılama konusunda bkz. </w:t>
      </w:r>
      <w:r w:rsidRPr="00612D3C">
        <w:rPr>
          <w:i/>
          <w:iCs/>
          <w:color w:val="010000"/>
        </w:rPr>
        <w:t>Mehmet Doğan</w:t>
      </w:r>
      <w:r w:rsidRPr="00612D3C">
        <w:rPr>
          <w:color w:val="010000"/>
        </w:rPr>
        <w:t xml:space="preserve"> [GK], B. No: 2014/8875, 7/6/2018, §§ 54-60; </w:t>
      </w:r>
      <w:proofErr w:type="spellStart"/>
      <w:r w:rsidRPr="00612D3C">
        <w:rPr>
          <w:i/>
          <w:iCs/>
          <w:color w:val="010000"/>
        </w:rPr>
        <w:t>Aligül</w:t>
      </w:r>
      <w:proofErr w:type="spellEnd"/>
      <w:r w:rsidRPr="00612D3C">
        <w:rPr>
          <w:i/>
          <w:iCs/>
          <w:color w:val="010000"/>
        </w:rPr>
        <w:t xml:space="preserve"> Alkaya ve diğerleri (2)</w:t>
      </w:r>
      <w:r w:rsidRPr="00612D3C">
        <w:rPr>
          <w:color w:val="010000"/>
        </w:rPr>
        <w:t xml:space="preserve">, B. No: 2016/12506, 7/11/2019, §§ 53-60, 66; </w:t>
      </w:r>
      <w:r w:rsidRPr="00612D3C">
        <w:rPr>
          <w:i/>
          <w:iCs/>
          <w:color w:val="010000"/>
        </w:rPr>
        <w:t>Kadri Enis Berberoğlu (3)</w:t>
      </w:r>
      <w:r w:rsidRPr="00612D3C">
        <w:rPr>
          <w:color w:val="010000"/>
        </w:rPr>
        <w:t xml:space="preserve"> [GK], B. No: 2020/32949, 21/1/2021, §§ 93-100).</w:t>
      </w:r>
    </w:p>
    <w:p w:rsidR="00BF6DEF" w:rsidRPr="00612D3C" w:rsidRDefault="00BF6DEF" w:rsidP="00612D3C">
      <w:pPr>
        <w:widowControl/>
        <w:suppressAutoHyphens w:val="0"/>
        <w:spacing w:after="200"/>
        <w:ind w:left="283" w:right="283" w:firstLine="709"/>
        <w:jc w:val="both"/>
        <w:rPr>
          <w:color w:val="010000"/>
        </w:rPr>
      </w:pPr>
      <w:r w:rsidRPr="00612D3C">
        <w:rPr>
          <w:color w:val="010000"/>
        </w:rPr>
        <w:t xml:space="preserve">32. Öte yandan hak ihlali kararından Anayasa Mahkemesinin davanın sonucuyla ilgili olarak bir tutum sergilediği sonucu çıkarılmamalıdır. Anayasa Mahkemesince verilen hak ihlali kararı uyuşmazlığın sonuçlarından bağımsız olup davanın kabulüne ya da reddine karar verilmesi gerektiği anlamına </w:t>
      </w:r>
      <w:r w:rsidRPr="00612D3C">
        <w:rPr>
          <w:color w:val="010000"/>
        </w:rPr>
        <w:lastRenderedPageBreak/>
        <w:t>gelmemektedir. Kural olarak, yargılamanın her aşamasında olduğu gibi ihlalin sonuçlarını gidermek üzere yeniden yapılacak yargılama sonunda da delillerin dava ile ilişkisini kurma ve bunları değerlendirip sonuç çıkarma yetkisi ilgili mahkemelere aittir.</w:t>
      </w:r>
    </w:p>
    <w:p w:rsidR="00BF6DEF" w:rsidRPr="00612D3C" w:rsidRDefault="00BF6DEF" w:rsidP="00612D3C">
      <w:pPr>
        <w:widowControl/>
        <w:suppressAutoHyphens w:val="0"/>
        <w:spacing w:after="200"/>
        <w:ind w:left="283" w:right="283" w:firstLine="709"/>
        <w:jc w:val="both"/>
        <w:rPr>
          <w:color w:val="010000"/>
        </w:rPr>
      </w:pPr>
      <w:r w:rsidRPr="00612D3C">
        <w:rPr>
          <w:color w:val="010000"/>
        </w:rPr>
        <w:t>33.</w:t>
      </w:r>
      <w:r w:rsidR="00612D3C" w:rsidRPr="00612D3C">
        <w:rPr>
          <w:color w:val="010000"/>
        </w:rPr>
        <w:t xml:space="preserve"> </w:t>
      </w:r>
      <w:r w:rsidRPr="00612D3C">
        <w:rPr>
          <w:color w:val="010000"/>
        </w:rPr>
        <w:t>İhlalin ve sonuçlarının ortadan kaldırılması için yeniden yargılama yapılmasının yeterli bir giderim sağlayacağı anlaşıldığından başvurucuların tazminat talebinin reddine karar verilmesi gerekir.</w:t>
      </w:r>
    </w:p>
    <w:p w:rsidR="00BF6DEF" w:rsidRPr="00612D3C" w:rsidRDefault="00BF6DEF" w:rsidP="00612D3C">
      <w:pPr>
        <w:pStyle w:val="edf1450279197849"/>
        <w:widowControl/>
        <w:suppressAutoHyphens w:val="0"/>
        <w:spacing w:after="200"/>
        <w:ind w:left="283" w:right="283" w:firstLine="709"/>
        <w:jc w:val="both"/>
        <w:rPr>
          <w:rFonts w:cs="Times New Roman"/>
          <w:color w:val="010000"/>
        </w:rPr>
      </w:pPr>
      <w:r w:rsidRPr="00612D3C">
        <w:rPr>
          <w:rFonts w:cs="Times New Roman"/>
          <w:b/>
          <w:color w:val="010000"/>
        </w:rPr>
        <w:t>IV.</w:t>
      </w:r>
      <w:r w:rsidR="00612D3C" w:rsidRPr="00612D3C">
        <w:rPr>
          <w:rFonts w:cs="Times New Roman"/>
          <w:color w:val="010000"/>
        </w:rPr>
        <w:t xml:space="preserve"> </w:t>
      </w:r>
      <w:r w:rsidRPr="00612D3C">
        <w:rPr>
          <w:rFonts w:cs="Times New Roman"/>
          <w:b/>
          <w:color w:val="010000"/>
        </w:rPr>
        <w:t>HÜKÜM</w:t>
      </w:r>
    </w:p>
    <w:p w:rsidR="00BF6DEF" w:rsidRPr="00612D3C" w:rsidRDefault="00BF6DEF" w:rsidP="00612D3C">
      <w:pPr>
        <w:pStyle w:val="edf1450279197849"/>
        <w:widowControl/>
        <w:suppressAutoHyphens w:val="0"/>
        <w:spacing w:after="200"/>
        <w:ind w:left="283" w:right="283" w:firstLine="709"/>
        <w:jc w:val="both"/>
        <w:rPr>
          <w:rFonts w:cs="Times New Roman"/>
          <w:color w:val="010000"/>
        </w:rPr>
      </w:pPr>
      <w:r w:rsidRPr="00612D3C">
        <w:rPr>
          <w:rFonts w:cs="Times New Roman"/>
          <w:color w:val="010000"/>
        </w:rPr>
        <w:t>Açıklanan gerekçelerle;</w:t>
      </w:r>
    </w:p>
    <w:p w:rsidR="00BF6DEF" w:rsidRPr="00612D3C" w:rsidRDefault="00BF6DEF" w:rsidP="00612D3C">
      <w:pPr>
        <w:widowControl/>
        <w:suppressAutoHyphens w:val="0"/>
        <w:spacing w:after="200"/>
        <w:ind w:left="283" w:right="283" w:firstLine="709"/>
        <w:jc w:val="both"/>
        <w:rPr>
          <w:color w:val="010000"/>
        </w:rPr>
      </w:pPr>
      <w:r w:rsidRPr="00612D3C">
        <w:rPr>
          <w:color w:val="010000"/>
        </w:rPr>
        <w:t>A. Mahkemeye erişim hakkının ihlal edildiğine ilişkin iddianın KABUL EDİLEBİLİR OLDUĞUNA,</w:t>
      </w:r>
    </w:p>
    <w:p w:rsidR="00BF6DEF" w:rsidRPr="00612D3C" w:rsidRDefault="00BF6DEF" w:rsidP="00612D3C">
      <w:pPr>
        <w:pStyle w:val="edf1450279197849"/>
        <w:widowControl/>
        <w:suppressAutoHyphens w:val="0"/>
        <w:spacing w:after="200"/>
        <w:ind w:left="283" w:right="283" w:firstLine="709"/>
        <w:jc w:val="both"/>
        <w:rPr>
          <w:rFonts w:cs="Times New Roman"/>
          <w:color w:val="010000"/>
        </w:rPr>
      </w:pPr>
      <w:r w:rsidRPr="00612D3C">
        <w:rPr>
          <w:rFonts w:cs="Times New Roman"/>
          <w:color w:val="010000"/>
        </w:rPr>
        <w:t>B. Anayasa'nın 36. maddesinde güvence altına alınan adil yargılanma hakkı kapsamındaki mahkemeye erişim hakkının İHLAL EDİLDİĞİNE,</w:t>
      </w:r>
    </w:p>
    <w:p w:rsidR="00BF6DEF" w:rsidRPr="00612D3C" w:rsidRDefault="00BF6DEF" w:rsidP="00612D3C">
      <w:pPr>
        <w:pStyle w:val="edf1450279197849"/>
        <w:widowControl/>
        <w:suppressAutoHyphens w:val="0"/>
        <w:spacing w:after="200"/>
        <w:ind w:left="283" w:right="283" w:firstLine="709"/>
        <w:jc w:val="both"/>
        <w:rPr>
          <w:rFonts w:cs="Times New Roman"/>
          <w:color w:val="010000"/>
        </w:rPr>
      </w:pPr>
      <w:r w:rsidRPr="00612D3C">
        <w:rPr>
          <w:rFonts w:cs="Times New Roman"/>
          <w:color w:val="010000"/>
        </w:rPr>
        <w:t>C. Diğer ihlal iddiasının İNCELENMESİNE GEREK OLMADIĞINA,</w:t>
      </w:r>
    </w:p>
    <w:p w:rsidR="00BF6DEF" w:rsidRPr="00612D3C" w:rsidRDefault="00BF6DEF" w:rsidP="00612D3C">
      <w:pPr>
        <w:widowControl/>
        <w:suppressAutoHyphens w:val="0"/>
        <w:spacing w:after="200"/>
        <w:ind w:left="283" w:right="283" w:firstLine="709"/>
        <w:jc w:val="both"/>
        <w:rPr>
          <w:color w:val="010000"/>
        </w:rPr>
      </w:pPr>
      <w:r w:rsidRPr="00612D3C">
        <w:rPr>
          <w:color w:val="010000"/>
        </w:rPr>
        <w:t>D. Kararın bir örneğinin mahkemeye erişim hakkının ihlalinin sonuçlarının ortadan kaldırılması için yeniden yargılama yapılmak üzere Hatay İdare Mahkemesine (E.2016/104, K.2016/153) GÖNDERİLMESİNE,</w:t>
      </w:r>
    </w:p>
    <w:p w:rsidR="00BF6DEF" w:rsidRPr="00612D3C" w:rsidRDefault="00BF6DEF" w:rsidP="00612D3C">
      <w:pPr>
        <w:pStyle w:val="edf1450279197849"/>
        <w:widowControl/>
        <w:suppressAutoHyphens w:val="0"/>
        <w:spacing w:after="200"/>
        <w:ind w:left="283" w:right="283" w:firstLine="709"/>
        <w:jc w:val="both"/>
        <w:rPr>
          <w:rFonts w:cs="Times New Roman"/>
          <w:color w:val="010000"/>
        </w:rPr>
      </w:pPr>
      <w:r w:rsidRPr="00612D3C">
        <w:rPr>
          <w:rFonts w:cs="Times New Roman"/>
          <w:color w:val="010000"/>
        </w:rPr>
        <w:t>E. Başvurucuların tazminat talebinin REDDİNE,</w:t>
      </w:r>
    </w:p>
    <w:p w:rsidR="00BF6DEF" w:rsidRPr="00612D3C" w:rsidRDefault="00BF6DEF" w:rsidP="00612D3C">
      <w:pPr>
        <w:pStyle w:val="edf1450279197849"/>
        <w:widowControl/>
        <w:suppressAutoHyphens w:val="0"/>
        <w:spacing w:after="200"/>
        <w:ind w:left="283" w:right="283" w:firstLine="709"/>
        <w:jc w:val="both"/>
        <w:rPr>
          <w:rFonts w:cs="Times New Roman"/>
          <w:color w:val="010000"/>
        </w:rPr>
      </w:pPr>
      <w:r w:rsidRPr="00612D3C">
        <w:rPr>
          <w:rFonts w:cs="Times New Roman"/>
          <w:color w:val="010000"/>
        </w:rPr>
        <w:t xml:space="preserve">F. 487,60 TL harç ve 30.000 TL vekâlet ücretinden oluşan toplam 30.487,60 TL yargılama giderinin başvuruculara MÜŞTEREKEN ÖDENMESİNE, </w:t>
      </w:r>
    </w:p>
    <w:p w:rsidR="00BF6DEF" w:rsidRPr="00612D3C" w:rsidRDefault="00BF6DEF" w:rsidP="00612D3C">
      <w:pPr>
        <w:pStyle w:val="edf1450279197849"/>
        <w:widowControl/>
        <w:suppressAutoHyphens w:val="0"/>
        <w:spacing w:after="200"/>
        <w:ind w:left="283" w:right="283" w:firstLine="709"/>
        <w:jc w:val="both"/>
        <w:rPr>
          <w:rFonts w:cs="Times New Roman"/>
          <w:color w:val="010000"/>
        </w:rPr>
      </w:pPr>
      <w:r w:rsidRPr="00612D3C">
        <w:rPr>
          <w:rFonts w:cs="Times New Roman"/>
          <w:color w:val="010000"/>
        </w:rPr>
        <w:t>G. Ödemelerin kararın tebliğini takiben başvurucuların Hazine ve Maliye Bakanlığına başvuru tarihinden itibaren dört ay içinde yapılmasına, ödemede gecikme olması hâlinde bu sürenin sona erdiği tarihten ödeme tarihine kadar geçen süre için yasal FAİZ UYGULANMASINA,</w:t>
      </w:r>
    </w:p>
    <w:p w:rsidR="00BF6DEF" w:rsidRPr="00612D3C" w:rsidRDefault="00BF6DEF" w:rsidP="00612D3C">
      <w:pPr>
        <w:pStyle w:val="edf1450279197849"/>
        <w:widowControl/>
        <w:suppressAutoHyphens w:val="0"/>
        <w:spacing w:after="200"/>
        <w:ind w:left="283" w:right="283" w:firstLine="709"/>
        <w:jc w:val="both"/>
        <w:rPr>
          <w:rFonts w:cs="Times New Roman"/>
          <w:color w:val="010000"/>
        </w:rPr>
      </w:pPr>
      <w:r w:rsidRPr="00612D3C">
        <w:rPr>
          <w:rFonts w:cs="Times New Roman"/>
          <w:color w:val="010000"/>
        </w:rPr>
        <w:t>H.</w:t>
      </w:r>
      <w:r w:rsidR="00612D3C" w:rsidRPr="00612D3C">
        <w:rPr>
          <w:rFonts w:cs="Times New Roman"/>
          <w:color w:val="010000"/>
        </w:rPr>
        <w:t xml:space="preserve"> </w:t>
      </w:r>
      <w:r w:rsidRPr="00612D3C">
        <w:rPr>
          <w:rFonts w:cs="Times New Roman"/>
          <w:color w:val="010000"/>
        </w:rPr>
        <w:t>Kararın bir örneğinin Adalet Bakanlığına GÖNDERİLMESİNE 4/2/2025 tarihinde OYBİRLİĞİYLE karar verildi.</w:t>
      </w:r>
    </w:p>
    <w:sectPr w:rsidR="00BF6DEF" w:rsidRPr="00612D3C" w:rsidSect="00612D3C">
      <w:pgSz w:w="11906" w:h="16838"/>
      <w:pgMar w:top="976" w:right="1417" w:bottom="941" w:left="1417" w:header="400" w:footer="400" w:gutter="0"/>
      <w:cols w:space="708"/>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F6DEF" w:rsidRDefault="00BF6DEF">
      <w:r>
        <w:separator/>
      </w:r>
    </w:p>
  </w:endnote>
  <w:endnote w:type="continuationSeparator" w:id="0">
    <w:p w:rsidR="00BF6DEF" w:rsidRDefault="00BF6D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Liberation Sans">
    <w:charset w:val="A2"/>
    <w:family w:val="swiss"/>
    <w:pitch w:val="variable"/>
    <w:sig w:usb0="E0000AFF" w:usb1="500078FF" w:usb2="00000021"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F6DEF" w:rsidRDefault="00BF6DEF">
    <w:pPr>
      <w:pStyle w:val="AltBilgi"/>
      <w:jc w:val="right"/>
    </w:pPr>
    <w:r>
      <w:rPr>
        <w:rFonts w:ascii="Arial" w:hAnsi="Arial"/>
        <w:color w:val="000000"/>
        <w:sz w:val="22"/>
      </w:rPr>
      <w:fldChar w:fldCharType="begin"/>
    </w:r>
    <w:r>
      <w:rPr>
        <w:rFonts w:ascii="Arial" w:hAnsi="Arial"/>
        <w:color w:val="000000"/>
        <w:sz w:val="22"/>
      </w:rPr>
      <w:instrText xml:space="preserve"> PAGE </w:instrText>
    </w:r>
    <w:r>
      <w:rPr>
        <w:rFonts w:ascii="Arial" w:hAnsi="Arial"/>
        <w:color w:val="000000"/>
        <w:sz w:val="22"/>
      </w:rPr>
      <w:fldChar w:fldCharType="separate"/>
    </w:r>
    <w:r>
      <w:rPr>
        <w:rFonts w:ascii="Arial" w:hAnsi="Arial"/>
        <w:color w:val="000000"/>
        <w:sz w:val="22"/>
      </w:rPr>
      <w:t>7</w:t>
    </w:r>
    <w:r>
      <w:rPr>
        <w:rFonts w:ascii="Arial" w:hAnsi="Arial"/>
        <w:color w:val="000000"/>
        <w:sz w:val="22"/>
      </w:rPr>
      <w:fldChar w:fldCharType="end"/>
    </w:r>
  </w:p>
  <w:p w:rsidR="00BF6DEF" w:rsidRDefault="00BF6DEF">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F6DEF" w:rsidRDefault="00BF6DEF">
      <w:r>
        <w:separator/>
      </w:r>
    </w:p>
  </w:footnote>
  <w:footnote w:type="continuationSeparator" w:id="0">
    <w:p w:rsidR="00BF6DEF" w:rsidRDefault="00BF6DE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F6DEF" w:rsidRDefault="00BF6DEF">
    <w:pPr>
      <w:pStyle w:val="stBilgi"/>
      <w:tabs>
        <w:tab w:val="left" w:pos="2020"/>
      </w:tabs>
      <w:spacing w:line="288" w:lineRule="exact"/>
    </w:pPr>
    <w:r>
      <w:t>Başvuru Numarası</w:t>
    </w:r>
    <w:r>
      <w:tab/>
      <w:t>: 2021/5138</w:t>
    </w:r>
  </w:p>
  <w:p w:rsidR="00BF6DEF" w:rsidRDefault="00BF6DEF">
    <w:pPr>
      <w:pStyle w:val="stBilgi"/>
      <w:tabs>
        <w:tab w:val="left" w:pos="1940"/>
      </w:tabs>
      <w:spacing w:line="288" w:lineRule="exact"/>
    </w:pPr>
    <w:r>
      <w:t>Karar Tarihi</w:t>
    </w:r>
    <w:proofErr w:type="gramStart"/>
    <w:r>
      <w:tab/>
      <w:t xml:space="preserve"> :</w:t>
    </w:r>
    <w:proofErr w:type="gramEnd"/>
    <w:r>
      <w:t xml:space="preserve"> 4/2/2025 </w:t>
    </w:r>
  </w:p>
  <w:p w:rsidR="00612D3C" w:rsidRDefault="00612D3C">
    <w:pPr>
      <w:pStyle w:val="stBilgi"/>
      <w:tabs>
        <w:tab w:val="left" w:pos="19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13E79"/>
    <w:rsid w:val="00612D3C"/>
    <w:rsid w:val="00971667"/>
    <w:rsid w:val="00BF6DEF"/>
    <w:rsid w:val="00D13E7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305F4946"/>
  <w15:chartTrackingRefBased/>
  <w15:docId w15:val="{EA629128-F041-4C78-97F0-45338C0297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2"/>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2"/>
      <w:sz w:val="24"/>
      <w:szCs w:val="24"/>
      <w:lang w:eastAsia="ja-JP" w:bidi="fa-IR"/>
    </w:rPr>
  </w:style>
  <w:style w:type="paragraph" w:customStyle="1" w:styleId="edf1421656534082">
    <w:name w:val="edf_1421656534082"/>
    <w:pPr>
      <w:widowControl w:val="0"/>
      <w:suppressAutoHyphens/>
    </w:pPr>
    <w:rPr>
      <w:rFonts w:eastAsia="Andale Sans UI" w:cs="Tahoma"/>
      <w:kern w:val="2"/>
      <w:sz w:val="24"/>
      <w:szCs w:val="24"/>
      <w:lang w:eastAsia="ja-JP" w:bidi="fa-IR"/>
    </w:rPr>
  </w:style>
  <w:style w:type="paragraph" w:customStyle="1" w:styleId="edf1433327389364">
    <w:name w:val="edf_1433327389364"/>
    <w:pPr>
      <w:widowControl w:val="0"/>
      <w:suppressAutoHyphens/>
    </w:pPr>
    <w:rPr>
      <w:rFonts w:eastAsia="Andale Sans UI" w:cs="Tahoma"/>
      <w:kern w:val="2"/>
      <w:sz w:val="24"/>
      <w:szCs w:val="24"/>
      <w:lang w:eastAsia="ja-JP" w:bidi="fa-IR"/>
    </w:rPr>
  </w:style>
  <w:style w:type="paragraph" w:customStyle="1" w:styleId="edf1449480327858">
    <w:name w:val="edf_1449480327858"/>
    <w:pPr>
      <w:widowControl w:val="0"/>
      <w:suppressAutoHyphens/>
    </w:pPr>
    <w:rPr>
      <w:rFonts w:eastAsia="Andale Sans UI" w:cs="Tahoma"/>
      <w:kern w:val="2"/>
      <w:sz w:val="24"/>
      <w:szCs w:val="24"/>
      <w:lang w:eastAsia="ja-JP" w:bidi="fa-IR"/>
    </w:rPr>
  </w:style>
  <w:style w:type="paragraph" w:customStyle="1" w:styleId="edf1449228987132">
    <w:name w:val="edf_1449228987132"/>
    <w:pPr>
      <w:widowControl w:val="0"/>
      <w:suppressAutoHyphens/>
    </w:pPr>
    <w:rPr>
      <w:rFonts w:eastAsia="Andale Sans UI" w:cs="Tahoma"/>
      <w:kern w:val="2"/>
      <w:sz w:val="24"/>
      <w:szCs w:val="24"/>
      <w:lang w:eastAsia="ja-JP" w:bidi="fa-IR"/>
    </w:rPr>
  </w:style>
  <w:style w:type="paragraph" w:customStyle="1" w:styleId="edf1308548239440">
    <w:name w:val="edf_1308548239440"/>
    <w:pPr>
      <w:widowControl w:val="0"/>
      <w:suppressAutoHyphens/>
    </w:pPr>
    <w:rPr>
      <w:rFonts w:eastAsia="Andale Sans UI" w:cs="Tahoma"/>
      <w:kern w:val="2"/>
      <w:sz w:val="24"/>
      <w:szCs w:val="24"/>
      <w:lang w:eastAsia="ja-JP" w:bidi="fa-IR"/>
    </w:rPr>
  </w:style>
  <w:style w:type="paragraph" w:customStyle="1" w:styleId="edf1393440766750">
    <w:name w:val="edf_1393440766750"/>
    <w:pPr>
      <w:widowControl w:val="0"/>
      <w:suppressAutoHyphens/>
    </w:pPr>
    <w:rPr>
      <w:rFonts w:eastAsia="Andale Sans UI" w:cs="Tahoma"/>
      <w:kern w:val="2"/>
      <w:sz w:val="24"/>
      <w:szCs w:val="24"/>
      <w:lang w:eastAsia="ja-JP" w:bidi="fa-IR"/>
    </w:rPr>
  </w:style>
  <w:style w:type="paragraph" w:customStyle="1" w:styleId="edf1419594272479">
    <w:name w:val="edf_1419594272479"/>
    <w:pPr>
      <w:widowControl w:val="0"/>
      <w:suppressAutoHyphens/>
    </w:pPr>
    <w:rPr>
      <w:rFonts w:eastAsia="Andale Sans UI" w:cs="Tahoma"/>
      <w:kern w:val="2"/>
      <w:sz w:val="24"/>
      <w:szCs w:val="24"/>
      <w:lang w:eastAsia="ja-JP" w:bidi="fa-IR"/>
    </w:rPr>
  </w:style>
  <w:style w:type="paragraph" w:customStyle="1" w:styleId="edf1393440831590">
    <w:name w:val="edf_1393440831590"/>
    <w:pPr>
      <w:widowControl w:val="0"/>
      <w:suppressAutoHyphens/>
    </w:pPr>
    <w:rPr>
      <w:rFonts w:eastAsia="Andale Sans UI" w:cs="Tahoma"/>
      <w:kern w:val="2"/>
      <w:sz w:val="24"/>
      <w:szCs w:val="24"/>
      <w:lang w:eastAsia="ja-JP" w:bidi="fa-IR"/>
    </w:rPr>
  </w:style>
  <w:style w:type="paragraph" w:customStyle="1" w:styleId="edf1455032351162">
    <w:name w:val="edf_1455032351162"/>
    <w:pPr>
      <w:widowControl w:val="0"/>
      <w:suppressAutoHyphens/>
    </w:pPr>
    <w:rPr>
      <w:rFonts w:eastAsia="Andale Sans UI" w:cs="Tahoma"/>
      <w:kern w:val="2"/>
      <w:sz w:val="24"/>
      <w:szCs w:val="24"/>
      <w:lang w:eastAsia="ja-JP" w:bidi="fa-IR"/>
    </w:rPr>
  </w:style>
  <w:style w:type="paragraph" w:customStyle="1" w:styleId="edf1450279197849">
    <w:name w:val="edf_1450279197849"/>
    <w:pPr>
      <w:widowControl w:val="0"/>
      <w:suppressAutoHyphens/>
    </w:pPr>
    <w:rPr>
      <w:rFonts w:eastAsia="Andale Sans UI" w:cs="Tahoma"/>
      <w:kern w:val="2"/>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2"/>
      <w:sz w:val="24"/>
      <w:szCs w:val="24"/>
      <w:lang w:eastAsia="ja-JP" w:bidi="fa-IR"/>
    </w:rPr>
  </w:style>
  <w:style w:type="paragraph" w:customStyle="1" w:styleId="edf1450279197847">
    <w:name w:val="edf_1450279197847"/>
    <w:pPr>
      <w:widowControl w:val="0"/>
      <w:suppressAutoHyphens/>
    </w:pPr>
    <w:rPr>
      <w:rFonts w:eastAsia="Andale Sans UI" w:cs="Tahoma"/>
      <w:kern w:val="2"/>
      <w:sz w:val="24"/>
      <w:szCs w:val="24"/>
      <w:lang w:eastAsia="ja-JP" w:bidi="fa-IR"/>
    </w:rPr>
  </w:style>
  <w:style w:type="paragraph" w:customStyle="1" w:styleId="hvl-default">
    <w:name w:val="hvl-default"/>
    <w:pPr>
      <w:widowControl w:val="0"/>
      <w:suppressAutoHyphens/>
    </w:pPr>
    <w:rPr>
      <w:rFonts w:eastAsia="Andale Sans UI" w:cs="Tahoma"/>
      <w:kern w:val="2"/>
      <w:sz w:val="24"/>
      <w:szCs w:val="24"/>
      <w:lang w:eastAsia="ja-JP" w:bidi="fa-IR"/>
    </w:rPr>
  </w:style>
  <w:style w:type="paragraph" w:customStyle="1" w:styleId="edf1419597503565">
    <w:name w:val="edf_1419597503565"/>
    <w:pPr>
      <w:widowControl w:val="0"/>
      <w:suppressAutoHyphens/>
    </w:pPr>
    <w:rPr>
      <w:rFonts w:eastAsia="Andale Sans UI" w:cs="Tahoma"/>
      <w:kern w:val="2"/>
      <w:sz w:val="24"/>
      <w:szCs w:val="24"/>
      <w:lang w:eastAsia="ja-JP" w:bidi="fa-IR"/>
    </w:rPr>
  </w:style>
  <w:style w:type="paragraph" w:customStyle="1" w:styleId="edf1704369476624">
    <w:name w:val="edf_1704369476624"/>
    <w:pPr>
      <w:widowControl w:val="0"/>
      <w:suppressAutoHyphens/>
    </w:pPr>
    <w:rPr>
      <w:rFonts w:eastAsia="Andale Sans UI" w:cs="Tahoma"/>
      <w:kern w:val="2"/>
      <w:sz w:val="24"/>
      <w:szCs w:val="24"/>
      <w:lang w:eastAsia="ja-JP" w:bidi="fa-IR"/>
    </w:rPr>
  </w:style>
  <w:style w:type="paragraph" w:customStyle="1" w:styleId="edf1410934050875">
    <w:name w:val="edf_1410934050875"/>
    <w:pPr>
      <w:widowControl w:val="0"/>
      <w:suppressAutoHyphens/>
    </w:pPr>
    <w:rPr>
      <w:rFonts w:eastAsia="Andale Sans UI" w:cs="Tahoma"/>
      <w:kern w:val="2"/>
      <w:sz w:val="24"/>
      <w:szCs w:val="24"/>
      <w:lang w:eastAsia="ja-JP" w:bidi="fa-IR"/>
    </w:rPr>
  </w:style>
  <w:style w:type="paragraph" w:styleId="stBilgi">
    <w:name w:val="header"/>
    <w:pPr>
      <w:widowControl w:val="0"/>
      <w:suppressAutoHyphens/>
    </w:pPr>
    <w:rPr>
      <w:rFonts w:eastAsia="Andale Sans UI" w:cs="Tahoma"/>
      <w:kern w:val="2"/>
      <w:sz w:val="24"/>
      <w:szCs w:val="24"/>
      <w:lang w:eastAsia="ja-JP" w:bidi="fa-IR"/>
    </w:rPr>
  </w:style>
  <w:style w:type="paragraph" w:styleId="AltBilgi">
    <w:name w:val="footer"/>
    <w:pPr>
      <w:widowControl w:val="0"/>
      <w:suppressAutoHyphens/>
    </w:pPr>
    <w:rPr>
      <w:rFonts w:eastAsia="Andale Sans UI" w:cs="Tahoma"/>
      <w:kern w:val="2"/>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7</Pages>
  <Words>2713</Words>
  <Characters>15465</Characters>
  <Application>Microsoft Office Word</Application>
  <DocSecurity>0</DocSecurity>
  <Lines>128</Lines>
  <Paragraphs>36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18142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Mustafa ÜSTÜNDAĞ</dc:creator>
  <cp:keywords/>
  <cp:lastModifiedBy>Çağrı ÇAKIR</cp:lastModifiedBy>
  <cp:revision>3</cp:revision>
  <cp:lastPrinted>1995-11-21T14:41:00Z</cp:lastPrinted>
  <dcterms:created xsi:type="dcterms:W3CDTF">2025-06-10T13:21:00Z</dcterms:created>
  <dcterms:modified xsi:type="dcterms:W3CDTF">2025-06-11T06:52:00Z</dcterms:modified>
</cp:coreProperties>
</file>