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45551C" w:rsidRDefault="0045551C" w:rsidP="0045551C">
      <w:pPr>
        <w:widowControl/>
        <w:suppressAutoHyphens w:val="0"/>
        <w:spacing w:after="200"/>
        <w:ind w:left="283" w:right="283" w:firstLine="567"/>
        <w:jc w:val="both"/>
        <w:rPr>
          <w:b/>
          <w:color w:val="010000"/>
          <w:sz w:val="28"/>
        </w:rPr>
      </w:pPr>
    </w:p>
    <w:p w:rsidR="0045551C" w:rsidRDefault="0045551C" w:rsidP="0045551C">
      <w:pPr>
        <w:widowControl/>
        <w:suppressAutoHyphens w:val="0"/>
        <w:spacing w:after="200"/>
        <w:ind w:left="283" w:right="283" w:firstLine="567"/>
        <w:jc w:val="both"/>
        <w:rPr>
          <w:b/>
          <w:color w:val="010000"/>
          <w:sz w:val="28"/>
        </w:rPr>
      </w:pPr>
    </w:p>
    <w:p w:rsidR="0045551C" w:rsidRDefault="0045551C" w:rsidP="0045551C">
      <w:pPr>
        <w:widowControl/>
        <w:suppressAutoHyphens w:val="0"/>
        <w:spacing w:after="200"/>
        <w:ind w:left="283" w:right="283" w:firstLine="567"/>
        <w:jc w:val="both"/>
        <w:rPr>
          <w:b/>
          <w:color w:val="010000"/>
          <w:sz w:val="28"/>
        </w:rPr>
      </w:pPr>
    </w:p>
    <w:p w:rsidR="0045551C" w:rsidRDefault="0045551C" w:rsidP="0045551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sz w:val="28"/>
              </w:rPr>
            </w:pPr>
            <w:r>
              <w:rPr>
                <w:b/>
                <w:color w:val="010000"/>
                <w:sz w:val="28"/>
              </w:rPr>
              <w:t>TÜRKİYE CUMHURİYETİ</w:t>
            </w: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sz w:val="32"/>
              </w:rPr>
            </w:pPr>
            <w:r>
              <w:rPr>
                <w:b/>
                <w:color w:val="010000"/>
                <w:sz w:val="32"/>
              </w:rPr>
              <w:t>ANAYASA MAHKEMESİ</w:t>
            </w: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r>
              <w:rPr>
                <w:b/>
                <w:color w:val="010000"/>
              </w:rPr>
              <w:t>BİRİNCİ BÖLÜM</w:t>
            </w: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r>
              <w:rPr>
                <w:b/>
                <w:color w:val="010000"/>
              </w:rPr>
              <w:t>KARAR</w:t>
            </w: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r>
              <w:rPr>
                <w:b/>
                <w:color w:val="010000"/>
              </w:rPr>
              <w:t>HASAN OKUR BAŞVURUSU</w:t>
            </w: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color w:val="010000"/>
              </w:rPr>
            </w:pPr>
            <w:r>
              <w:rPr>
                <w:color w:val="010000"/>
              </w:rPr>
              <w:t>(Başvuru Numarası: 2022/21157)</w:t>
            </w: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color w:val="010000"/>
              </w:rPr>
            </w:pPr>
            <w:r>
              <w:rPr>
                <w:color w:val="010000"/>
              </w:rPr>
              <w:t>Karar Tarihi: 10/12/2024</w:t>
            </w: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r w:rsidR="0045551C" w:rsidRPr="0045551C" w:rsidTr="0045551C">
        <w:tblPrEx>
          <w:tblCellMar>
            <w:top w:w="0" w:type="dxa"/>
            <w:bottom w:w="0" w:type="dxa"/>
          </w:tblCellMar>
        </w:tblPrEx>
        <w:trPr>
          <w:trHeight w:val="500"/>
          <w:jc w:val="center"/>
        </w:trPr>
        <w:tc>
          <w:tcPr>
            <w:tcW w:w="9072" w:type="dxa"/>
            <w:vAlign w:val="center"/>
          </w:tcPr>
          <w:p w:rsidR="0045551C" w:rsidRPr="0045551C" w:rsidRDefault="0045551C" w:rsidP="0045551C">
            <w:pPr>
              <w:widowControl/>
              <w:suppressAutoHyphens w:val="0"/>
              <w:spacing w:after="200"/>
              <w:ind w:right="283"/>
              <w:jc w:val="center"/>
              <w:rPr>
                <w:b/>
                <w:color w:val="010000"/>
              </w:rPr>
            </w:pPr>
          </w:p>
        </w:tc>
      </w:tr>
    </w:tbl>
    <w:p w:rsidR="0045551C" w:rsidRDefault="0045551C" w:rsidP="0045551C">
      <w:pPr>
        <w:widowControl/>
        <w:suppressAutoHyphens w:val="0"/>
        <w:spacing w:after="200"/>
        <w:ind w:left="283" w:right="283" w:firstLine="567"/>
        <w:jc w:val="both"/>
        <w:rPr>
          <w:b/>
          <w:color w:val="010000"/>
        </w:rPr>
        <w:sectPr w:rsidR="0045551C" w:rsidSect="0045551C">
          <w:headerReference w:type="default" r:id="rId6"/>
          <w:footerReference w:type="default" r:id="rId7"/>
          <w:pgSz w:w="11906" w:h="16838"/>
          <w:pgMar w:top="976" w:right="1417" w:bottom="941" w:left="1417" w:header="400" w:footer="400" w:gutter="0"/>
          <w:cols w:space="708"/>
          <w:titlePg/>
          <w:docGrid w:linePitch="600" w:charSpace="32768"/>
        </w:sectPr>
      </w:pPr>
    </w:p>
    <w:p w:rsidR="0045551C" w:rsidRDefault="0045551C" w:rsidP="0045551C">
      <w:pPr>
        <w:widowControl/>
        <w:suppressAutoHyphens w:val="0"/>
        <w:spacing w:after="200"/>
        <w:ind w:left="283" w:right="283" w:firstLine="567"/>
        <w:jc w:val="both"/>
        <w:rPr>
          <w:b/>
          <w:color w:val="010000"/>
        </w:rPr>
      </w:pPr>
    </w:p>
    <w:p w:rsidR="00C2062D" w:rsidRPr="0045551C" w:rsidRDefault="004B13F9" w:rsidP="0045551C">
      <w:pPr>
        <w:widowControl/>
        <w:suppressAutoHyphens w:val="0"/>
        <w:spacing w:after="200"/>
        <w:ind w:left="283" w:right="283" w:firstLine="1"/>
        <w:jc w:val="center"/>
        <w:rPr>
          <w:color w:val="010000"/>
        </w:rPr>
      </w:pPr>
      <w:r w:rsidRPr="0045551C">
        <w:rPr>
          <w:b/>
          <w:color w:val="010000"/>
        </w:rPr>
        <w:t>BİRİNCİ BÖLÜM</w:t>
      </w:r>
    </w:p>
    <w:p w:rsidR="00C2062D" w:rsidRPr="0045551C" w:rsidRDefault="004B13F9" w:rsidP="0045551C">
      <w:pPr>
        <w:widowControl/>
        <w:suppressAutoHyphens w:val="0"/>
        <w:spacing w:after="200"/>
        <w:ind w:left="283" w:right="283" w:firstLine="1"/>
        <w:jc w:val="center"/>
        <w:rPr>
          <w:color w:val="010000"/>
        </w:rPr>
      </w:pPr>
      <w:r w:rsidRPr="0045551C">
        <w:rPr>
          <w:b/>
          <w:color w:val="010000"/>
        </w:rPr>
        <w:t>KARAR</w:t>
      </w:r>
    </w:p>
    <w:p w:rsidR="0045551C" w:rsidRDefault="0045551C" w:rsidP="0045551C">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45551C" w:rsidRPr="0045551C" w:rsidTr="0045551C">
        <w:tblPrEx>
          <w:tblCellMar>
            <w:top w:w="0" w:type="dxa"/>
            <w:bottom w:w="0" w:type="dxa"/>
          </w:tblCellMar>
        </w:tblPrEx>
        <w:trPr>
          <w:trHeight w:val="454"/>
        </w:trPr>
        <w:tc>
          <w:tcPr>
            <w:tcW w:w="24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Başkan</w:t>
            </w:r>
          </w:p>
        </w:tc>
        <w:tc>
          <w:tcPr>
            <w:tcW w:w="2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w:t>
            </w:r>
          </w:p>
        </w:tc>
        <w:tc>
          <w:tcPr>
            <w:tcW w:w="5400" w:type="dxa"/>
          </w:tcPr>
          <w:p w:rsidR="0045551C" w:rsidRPr="0045551C" w:rsidRDefault="0045551C" w:rsidP="0045551C">
            <w:pPr>
              <w:pStyle w:val="edf1393440552765"/>
              <w:widowControl/>
              <w:suppressAutoHyphens w:val="0"/>
              <w:rPr>
                <w:rFonts w:cs="Times New Roman"/>
                <w:color w:val="010000"/>
              </w:rPr>
            </w:pPr>
            <w:r w:rsidRPr="0045551C">
              <w:rPr>
                <w:rFonts w:cs="Times New Roman"/>
                <w:color w:val="010000"/>
              </w:rPr>
              <w:t>Hasan Tahsin GÖKCAN</w:t>
            </w:r>
          </w:p>
        </w:tc>
      </w:tr>
      <w:tr w:rsidR="0045551C" w:rsidRPr="0045551C" w:rsidTr="0045551C">
        <w:tblPrEx>
          <w:tblCellMar>
            <w:top w:w="0" w:type="dxa"/>
            <w:bottom w:w="0" w:type="dxa"/>
          </w:tblCellMar>
        </w:tblPrEx>
        <w:trPr>
          <w:trHeight w:val="454"/>
        </w:trPr>
        <w:tc>
          <w:tcPr>
            <w:tcW w:w="24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Üyeler</w:t>
            </w:r>
          </w:p>
        </w:tc>
        <w:tc>
          <w:tcPr>
            <w:tcW w:w="2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w:t>
            </w:r>
          </w:p>
        </w:tc>
        <w:tc>
          <w:tcPr>
            <w:tcW w:w="5400" w:type="dxa"/>
          </w:tcPr>
          <w:p w:rsidR="0045551C" w:rsidRPr="0045551C" w:rsidRDefault="0045551C" w:rsidP="0045551C">
            <w:pPr>
              <w:pStyle w:val="edf1393440552765"/>
              <w:widowControl/>
              <w:suppressAutoHyphens w:val="0"/>
              <w:rPr>
                <w:rFonts w:cs="Times New Roman"/>
                <w:color w:val="010000"/>
              </w:rPr>
            </w:pPr>
            <w:r w:rsidRPr="0045551C">
              <w:rPr>
                <w:rFonts w:cs="Times New Roman"/>
                <w:color w:val="010000"/>
              </w:rPr>
              <w:t>Recai AKYEL</w:t>
            </w:r>
          </w:p>
        </w:tc>
      </w:tr>
      <w:tr w:rsidR="0045551C" w:rsidRPr="0045551C" w:rsidTr="0045551C">
        <w:tblPrEx>
          <w:tblCellMar>
            <w:top w:w="0" w:type="dxa"/>
            <w:bottom w:w="0" w:type="dxa"/>
          </w:tblCellMar>
        </w:tblPrEx>
        <w:trPr>
          <w:trHeight w:val="454"/>
        </w:trPr>
        <w:tc>
          <w:tcPr>
            <w:tcW w:w="2400" w:type="dxa"/>
          </w:tcPr>
          <w:p w:rsidR="0045551C" w:rsidRPr="0045551C" w:rsidRDefault="0045551C" w:rsidP="0045551C">
            <w:pPr>
              <w:pStyle w:val="edf1393440552765"/>
              <w:widowControl/>
              <w:suppressAutoHyphens w:val="0"/>
              <w:rPr>
                <w:rFonts w:cs="Times New Roman"/>
                <w:b/>
                <w:color w:val="010000"/>
              </w:rPr>
            </w:pPr>
          </w:p>
        </w:tc>
        <w:tc>
          <w:tcPr>
            <w:tcW w:w="200" w:type="dxa"/>
          </w:tcPr>
          <w:p w:rsidR="0045551C" w:rsidRPr="0045551C" w:rsidRDefault="0045551C" w:rsidP="0045551C">
            <w:pPr>
              <w:pStyle w:val="edf1393440552765"/>
              <w:widowControl/>
              <w:suppressAutoHyphens w:val="0"/>
              <w:rPr>
                <w:rFonts w:cs="Times New Roman"/>
                <w:b/>
                <w:color w:val="010000"/>
              </w:rPr>
            </w:pPr>
          </w:p>
        </w:tc>
        <w:tc>
          <w:tcPr>
            <w:tcW w:w="5400" w:type="dxa"/>
          </w:tcPr>
          <w:p w:rsidR="0045551C" w:rsidRPr="0045551C" w:rsidRDefault="0045551C" w:rsidP="0045551C">
            <w:pPr>
              <w:pStyle w:val="edf1393440552765"/>
              <w:widowControl/>
              <w:suppressAutoHyphens w:val="0"/>
              <w:rPr>
                <w:rFonts w:cs="Times New Roman"/>
                <w:color w:val="010000"/>
              </w:rPr>
            </w:pPr>
            <w:r w:rsidRPr="0045551C">
              <w:rPr>
                <w:rFonts w:cs="Times New Roman"/>
                <w:color w:val="010000"/>
              </w:rPr>
              <w:t>Selahaddin MENTEŞ</w:t>
            </w:r>
          </w:p>
        </w:tc>
      </w:tr>
      <w:tr w:rsidR="0045551C" w:rsidRPr="0045551C" w:rsidTr="0045551C">
        <w:tblPrEx>
          <w:tblCellMar>
            <w:top w:w="0" w:type="dxa"/>
            <w:bottom w:w="0" w:type="dxa"/>
          </w:tblCellMar>
        </w:tblPrEx>
        <w:trPr>
          <w:trHeight w:val="454"/>
        </w:trPr>
        <w:tc>
          <w:tcPr>
            <w:tcW w:w="2400" w:type="dxa"/>
          </w:tcPr>
          <w:p w:rsidR="0045551C" w:rsidRPr="0045551C" w:rsidRDefault="0045551C" w:rsidP="0045551C">
            <w:pPr>
              <w:pStyle w:val="edf1393440552765"/>
              <w:widowControl/>
              <w:suppressAutoHyphens w:val="0"/>
              <w:rPr>
                <w:rFonts w:cs="Times New Roman"/>
                <w:b/>
                <w:color w:val="010000"/>
              </w:rPr>
            </w:pPr>
          </w:p>
        </w:tc>
        <w:tc>
          <w:tcPr>
            <w:tcW w:w="200" w:type="dxa"/>
          </w:tcPr>
          <w:p w:rsidR="0045551C" w:rsidRPr="0045551C" w:rsidRDefault="0045551C" w:rsidP="0045551C">
            <w:pPr>
              <w:pStyle w:val="edf1393440552765"/>
              <w:widowControl/>
              <w:suppressAutoHyphens w:val="0"/>
              <w:rPr>
                <w:rFonts w:cs="Times New Roman"/>
                <w:b/>
                <w:color w:val="010000"/>
              </w:rPr>
            </w:pPr>
          </w:p>
        </w:tc>
        <w:tc>
          <w:tcPr>
            <w:tcW w:w="5400" w:type="dxa"/>
          </w:tcPr>
          <w:p w:rsidR="0045551C" w:rsidRPr="0045551C" w:rsidRDefault="0045551C" w:rsidP="0045551C">
            <w:pPr>
              <w:pStyle w:val="edf1393440552765"/>
              <w:widowControl/>
              <w:suppressAutoHyphens w:val="0"/>
              <w:rPr>
                <w:rFonts w:cs="Times New Roman"/>
                <w:color w:val="010000"/>
              </w:rPr>
            </w:pPr>
            <w:r w:rsidRPr="0045551C">
              <w:rPr>
                <w:rFonts w:cs="Times New Roman"/>
                <w:color w:val="010000"/>
              </w:rPr>
              <w:t>Muhterem İNCE</w:t>
            </w:r>
          </w:p>
        </w:tc>
      </w:tr>
      <w:tr w:rsidR="0045551C" w:rsidRPr="0045551C" w:rsidTr="0045551C">
        <w:tblPrEx>
          <w:tblCellMar>
            <w:top w:w="0" w:type="dxa"/>
            <w:bottom w:w="0" w:type="dxa"/>
          </w:tblCellMar>
        </w:tblPrEx>
        <w:trPr>
          <w:trHeight w:val="454"/>
        </w:trPr>
        <w:tc>
          <w:tcPr>
            <w:tcW w:w="2400" w:type="dxa"/>
          </w:tcPr>
          <w:p w:rsidR="0045551C" w:rsidRPr="0045551C" w:rsidRDefault="0045551C" w:rsidP="0045551C">
            <w:pPr>
              <w:pStyle w:val="edf1393440552765"/>
              <w:widowControl/>
              <w:suppressAutoHyphens w:val="0"/>
              <w:rPr>
                <w:rFonts w:cs="Times New Roman"/>
                <w:b/>
                <w:color w:val="010000"/>
              </w:rPr>
            </w:pPr>
          </w:p>
        </w:tc>
        <w:tc>
          <w:tcPr>
            <w:tcW w:w="200" w:type="dxa"/>
          </w:tcPr>
          <w:p w:rsidR="0045551C" w:rsidRPr="0045551C" w:rsidRDefault="0045551C" w:rsidP="0045551C">
            <w:pPr>
              <w:pStyle w:val="edf1393440552765"/>
              <w:widowControl/>
              <w:suppressAutoHyphens w:val="0"/>
              <w:rPr>
                <w:rFonts w:cs="Times New Roman"/>
                <w:b/>
                <w:color w:val="010000"/>
              </w:rPr>
            </w:pPr>
          </w:p>
        </w:tc>
        <w:tc>
          <w:tcPr>
            <w:tcW w:w="5400" w:type="dxa"/>
          </w:tcPr>
          <w:p w:rsidR="0045551C" w:rsidRPr="0045551C" w:rsidRDefault="0045551C" w:rsidP="0045551C">
            <w:pPr>
              <w:pStyle w:val="edf1393440552765"/>
              <w:widowControl/>
              <w:suppressAutoHyphens w:val="0"/>
              <w:rPr>
                <w:rFonts w:cs="Times New Roman"/>
                <w:color w:val="010000"/>
              </w:rPr>
            </w:pPr>
            <w:r w:rsidRPr="0045551C">
              <w:rPr>
                <w:rFonts w:cs="Times New Roman"/>
                <w:color w:val="010000"/>
              </w:rPr>
              <w:t>Yılmaz AKÇİL</w:t>
            </w:r>
          </w:p>
        </w:tc>
      </w:tr>
      <w:tr w:rsidR="0045551C" w:rsidRPr="0045551C" w:rsidTr="0045551C">
        <w:tblPrEx>
          <w:tblCellMar>
            <w:top w:w="0" w:type="dxa"/>
            <w:bottom w:w="0" w:type="dxa"/>
          </w:tblCellMar>
        </w:tblPrEx>
        <w:trPr>
          <w:trHeight w:val="454"/>
        </w:trPr>
        <w:tc>
          <w:tcPr>
            <w:tcW w:w="24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Raportör</w:t>
            </w:r>
          </w:p>
        </w:tc>
        <w:tc>
          <w:tcPr>
            <w:tcW w:w="2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w:t>
            </w:r>
          </w:p>
        </w:tc>
        <w:tc>
          <w:tcPr>
            <w:tcW w:w="5400" w:type="dxa"/>
          </w:tcPr>
          <w:p w:rsidR="0045551C" w:rsidRPr="0045551C" w:rsidRDefault="0045551C" w:rsidP="0045551C">
            <w:pPr>
              <w:pStyle w:val="edf1393440552765"/>
              <w:widowControl/>
              <w:suppressAutoHyphens w:val="0"/>
              <w:rPr>
                <w:rFonts w:cs="Times New Roman"/>
                <w:color w:val="010000"/>
              </w:rPr>
            </w:pPr>
            <w:r w:rsidRPr="0045551C">
              <w:rPr>
                <w:rFonts w:cs="Times New Roman"/>
                <w:color w:val="010000"/>
              </w:rPr>
              <w:t>Mehmet ALTUNDİŞ</w:t>
            </w:r>
          </w:p>
        </w:tc>
      </w:tr>
      <w:tr w:rsidR="0045551C" w:rsidRPr="0045551C" w:rsidTr="0045551C">
        <w:tblPrEx>
          <w:tblCellMar>
            <w:top w:w="0" w:type="dxa"/>
            <w:bottom w:w="0" w:type="dxa"/>
          </w:tblCellMar>
        </w:tblPrEx>
        <w:trPr>
          <w:trHeight w:val="454"/>
        </w:trPr>
        <w:tc>
          <w:tcPr>
            <w:tcW w:w="24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Başvurucu</w:t>
            </w:r>
          </w:p>
        </w:tc>
        <w:tc>
          <w:tcPr>
            <w:tcW w:w="2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w:t>
            </w:r>
          </w:p>
        </w:tc>
        <w:tc>
          <w:tcPr>
            <w:tcW w:w="5400" w:type="dxa"/>
          </w:tcPr>
          <w:p w:rsidR="0045551C" w:rsidRPr="0045551C" w:rsidRDefault="0045551C" w:rsidP="0045551C">
            <w:pPr>
              <w:pStyle w:val="edf1393440552765"/>
              <w:widowControl/>
              <w:suppressAutoHyphens w:val="0"/>
              <w:rPr>
                <w:rFonts w:cs="Times New Roman"/>
                <w:color w:val="010000"/>
              </w:rPr>
            </w:pPr>
            <w:r w:rsidRPr="0045551C">
              <w:rPr>
                <w:rFonts w:cs="Times New Roman"/>
                <w:color w:val="010000"/>
              </w:rPr>
              <w:t>Hasan OKUR</w:t>
            </w:r>
          </w:p>
        </w:tc>
      </w:tr>
      <w:tr w:rsidR="0045551C" w:rsidRPr="0045551C" w:rsidTr="0045551C">
        <w:tblPrEx>
          <w:tblCellMar>
            <w:top w:w="0" w:type="dxa"/>
            <w:bottom w:w="0" w:type="dxa"/>
          </w:tblCellMar>
        </w:tblPrEx>
        <w:trPr>
          <w:trHeight w:val="454"/>
        </w:trPr>
        <w:tc>
          <w:tcPr>
            <w:tcW w:w="24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Vekili</w:t>
            </w:r>
          </w:p>
        </w:tc>
        <w:tc>
          <w:tcPr>
            <w:tcW w:w="200" w:type="dxa"/>
          </w:tcPr>
          <w:p w:rsidR="0045551C" w:rsidRPr="0045551C" w:rsidRDefault="0045551C" w:rsidP="0045551C">
            <w:pPr>
              <w:pStyle w:val="edf1393440552765"/>
              <w:widowControl/>
              <w:suppressAutoHyphens w:val="0"/>
              <w:rPr>
                <w:rFonts w:cs="Times New Roman"/>
                <w:b/>
                <w:color w:val="010000"/>
              </w:rPr>
            </w:pPr>
            <w:r w:rsidRPr="0045551C">
              <w:rPr>
                <w:rFonts w:cs="Times New Roman"/>
                <w:b/>
                <w:color w:val="010000"/>
              </w:rPr>
              <w:t>:</w:t>
            </w:r>
          </w:p>
        </w:tc>
        <w:tc>
          <w:tcPr>
            <w:tcW w:w="5400" w:type="dxa"/>
          </w:tcPr>
          <w:p w:rsidR="0045551C" w:rsidRPr="0045551C" w:rsidRDefault="0045551C" w:rsidP="0045551C">
            <w:pPr>
              <w:pStyle w:val="edf1393440552765"/>
              <w:widowControl/>
              <w:suppressAutoHyphens w:val="0"/>
              <w:rPr>
                <w:rFonts w:cs="Times New Roman"/>
                <w:color w:val="010000"/>
              </w:rPr>
            </w:pPr>
            <w:r w:rsidRPr="0045551C">
              <w:rPr>
                <w:rFonts w:cs="Times New Roman"/>
                <w:color w:val="010000"/>
              </w:rPr>
              <w:t>Av. Ahmet DİLFİRUZ</w:t>
            </w:r>
          </w:p>
        </w:tc>
      </w:tr>
    </w:tbl>
    <w:p w:rsidR="0045551C" w:rsidRDefault="0045551C" w:rsidP="0045551C">
      <w:pPr>
        <w:pStyle w:val="edf1393440552765"/>
        <w:widowControl/>
        <w:suppressAutoHyphens w:val="0"/>
        <w:spacing w:after="200"/>
        <w:ind w:left="283" w:right="283" w:firstLine="567"/>
        <w:jc w:val="both"/>
        <w:rPr>
          <w:rFonts w:cs="Times New Roman"/>
          <w:b/>
          <w:color w:val="010000"/>
        </w:rPr>
      </w:pPr>
    </w:p>
    <w:p w:rsidR="00C2062D" w:rsidRPr="0045551C" w:rsidRDefault="004B13F9" w:rsidP="0045551C">
      <w:pPr>
        <w:pStyle w:val="edf1393440552765"/>
        <w:widowControl/>
        <w:suppressAutoHyphens w:val="0"/>
        <w:spacing w:after="200"/>
        <w:ind w:left="283" w:right="283" w:firstLine="567"/>
        <w:jc w:val="both"/>
        <w:rPr>
          <w:rFonts w:cs="Times New Roman"/>
          <w:color w:val="010000"/>
        </w:rPr>
      </w:pPr>
      <w:r w:rsidRPr="0045551C">
        <w:rPr>
          <w:rFonts w:cs="Times New Roman"/>
          <w:b/>
          <w:color w:val="010000"/>
        </w:rPr>
        <w:t>I.</w:t>
      </w:r>
      <w:r w:rsidR="0045551C" w:rsidRPr="0045551C">
        <w:rPr>
          <w:rFonts w:cs="Times New Roman"/>
          <w:color w:val="010000"/>
        </w:rPr>
        <w:t xml:space="preserve"> </w:t>
      </w:r>
      <w:r w:rsidRPr="0045551C">
        <w:rPr>
          <w:rFonts w:cs="Times New Roman"/>
          <w:b/>
          <w:color w:val="010000"/>
        </w:rPr>
        <w:t>BAŞVURUNUN ÖZETİ</w:t>
      </w:r>
    </w:p>
    <w:p w:rsidR="00C2062D" w:rsidRPr="0045551C" w:rsidRDefault="004B13F9" w:rsidP="0045551C">
      <w:pPr>
        <w:pStyle w:val="edf1450279197849"/>
        <w:widowControl/>
        <w:suppressAutoHyphens w:val="0"/>
        <w:spacing w:after="200"/>
        <w:ind w:left="283" w:right="283" w:firstLine="567"/>
        <w:jc w:val="both"/>
        <w:rPr>
          <w:rFonts w:cs="Times New Roman"/>
          <w:color w:val="010000"/>
        </w:rPr>
      </w:pPr>
      <w:r w:rsidRPr="0045551C">
        <w:rPr>
          <w:rFonts w:cs="Times New Roman"/>
          <w:color w:val="010000"/>
        </w:rPr>
        <w:t>1.</w:t>
      </w:r>
      <w:r w:rsidR="0045551C" w:rsidRPr="0045551C">
        <w:rPr>
          <w:rFonts w:cs="Times New Roman"/>
          <w:color w:val="010000"/>
        </w:rPr>
        <w:t xml:space="preserve"> </w:t>
      </w:r>
      <w:r w:rsidRPr="0045551C">
        <w:rPr>
          <w:rFonts w:cs="Times New Roman"/>
          <w:color w:val="010000"/>
        </w:rPr>
        <w:t>Başvuru, şirkete yatırılan paranın iadesi talebiyle açılan dava sırasında yapılan kanuni düzenleme sonucu alacağın tahsil imkânının ortadan kaldırılması nedeniyle mülkiyet hakkıyla bağlantılı olarak etkili başvuru hakkının ve makul sürede yargılanma hakkının ihlal edildiği iddialarına ilişkindir. Başvurucu, nihai hükmü 18/1/2022 tarihinde öğrendikten sonra 11/2/2022 tarihinde bireysel başvuruda bulunmuştur.</w:t>
      </w:r>
      <w:r w:rsidRPr="0045551C">
        <w:rPr>
          <w:rFonts w:cs="Times New Roman"/>
          <w:i/>
          <w:iCs/>
          <w:color w:val="010000"/>
        </w:rPr>
        <w:t xml:space="preserve"> </w:t>
      </w:r>
      <w:r w:rsidRPr="0045551C">
        <w:rPr>
          <w:rFonts w:cs="Times New Roman"/>
          <w:color w:val="010000"/>
        </w:rPr>
        <w:t>Başvurunun kabul edilebilirlik incelemesinin Bölüm tarafından yapılmasına karar verilmiştir.</w:t>
      </w:r>
    </w:p>
    <w:p w:rsidR="00C2062D" w:rsidRPr="0045551C" w:rsidRDefault="004B13F9" w:rsidP="0045551C">
      <w:pPr>
        <w:widowControl/>
        <w:suppressAutoHyphens w:val="0"/>
        <w:spacing w:after="200"/>
        <w:ind w:left="283" w:right="283" w:firstLine="567"/>
        <w:jc w:val="both"/>
        <w:rPr>
          <w:color w:val="010000"/>
        </w:rPr>
      </w:pPr>
      <w:r w:rsidRPr="0045551C">
        <w:rPr>
          <w:b/>
          <w:color w:val="010000"/>
        </w:rPr>
        <w:t>II.</w:t>
      </w:r>
      <w:r w:rsidR="0045551C" w:rsidRPr="0045551C">
        <w:rPr>
          <w:color w:val="010000"/>
        </w:rPr>
        <w:t xml:space="preserve"> </w:t>
      </w:r>
      <w:r w:rsidRPr="0045551C">
        <w:rPr>
          <w:b/>
          <w:color w:val="010000"/>
        </w:rPr>
        <w:t>DEĞERLENDİRME</w:t>
      </w:r>
    </w:p>
    <w:p w:rsidR="00C2062D" w:rsidRPr="0045551C" w:rsidRDefault="004B13F9" w:rsidP="0045551C">
      <w:pPr>
        <w:widowControl/>
        <w:suppressAutoHyphens w:val="0"/>
        <w:spacing w:after="200"/>
        <w:ind w:left="283" w:right="283" w:firstLine="567"/>
        <w:jc w:val="both"/>
        <w:rPr>
          <w:color w:val="010000"/>
        </w:rPr>
      </w:pPr>
      <w:r w:rsidRPr="0045551C">
        <w:rPr>
          <w:b/>
          <w:color w:val="010000"/>
        </w:rPr>
        <w:t>A.</w:t>
      </w:r>
      <w:r w:rsidR="0045551C" w:rsidRPr="0045551C">
        <w:rPr>
          <w:color w:val="010000"/>
        </w:rPr>
        <w:t xml:space="preserve"> </w:t>
      </w:r>
      <w:r w:rsidRPr="0045551C">
        <w:rPr>
          <w:b/>
          <w:color w:val="010000"/>
        </w:rPr>
        <w:t>Mülkiyet Hakkının İhlal Edildiğine İlişkin İddia</w:t>
      </w:r>
    </w:p>
    <w:p w:rsidR="00C2062D" w:rsidRPr="0045551C" w:rsidRDefault="004B13F9" w:rsidP="0045551C">
      <w:pPr>
        <w:widowControl/>
        <w:suppressAutoHyphens w:val="0"/>
        <w:spacing w:after="200"/>
        <w:ind w:left="283" w:right="283" w:firstLine="567"/>
        <w:jc w:val="both"/>
        <w:rPr>
          <w:color w:val="010000"/>
        </w:rPr>
      </w:pPr>
      <w:r w:rsidRPr="0045551C">
        <w:rPr>
          <w:color w:val="010000"/>
        </w:rPr>
        <w:t>2.</w:t>
      </w:r>
      <w:r w:rsidR="0045551C" w:rsidRPr="0045551C">
        <w:rPr>
          <w:color w:val="010000"/>
        </w:rPr>
        <w:t xml:space="preserve"> </w:t>
      </w:r>
      <w:r w:rsidRPr="0045551C">
        <w:rPr>
          <w:color w:val="010000"/>
        </w:rPr>
        <w:t xml:space="preserve">Anayasa Mahkemesi, olay ve olguları somut başvuru ile benzer nitelikte olan </w:t>
      </w:r>
      <w:r w:rsidRPr="0045551C">
        <w:rPr>
          <w:i/>
          <w:iCs/>
          <w:color w:val="010000"/>
        </w:rPr>
        <w:t>Turgay Kılıç</w:t>
      </w:r>
      <w:r w:rsidRPr="0045551C">
        <w:rPr>
          <w:color w:val="010000"/>
        </w:rPr>
        <w:t xml:space="preserve"> (B. No: 2020/21022, 14/12/2023) kararında uygulanacak anayasal ilkeleri belirlemiştir. Bu çerçevede alacağın tahsili için uygun hukuki yollara başvurmasına rağmen yargılama sırasında yapılan kanuni düzenleme nedeniyle hukuki mekanizmaları işletme imkânından mahrum bırakılan başvurucunun Anayasa'nın 35. maddesinde güvence altına alınan mülkiyet hakkı ile bağlantılı olarak Anayasa'nın 40. maddesinde düzenlenen etkili başvuru hakkının ihlal edildiğine karar verilmiştir. Somut başvuruda anılan kararda açıklanan ilkelerden ve ulaşılan sonuçtan ayrılmayı gerektiren bir durum bulunmamaktadır. Bu doğrultuda başvurucunun Anayasa'nın 35. maddesinde güvence altına alınan mülkiyet hakkı ile bağlantılı olarak Anayasa'nın 40. maddesinde düzenlenen etkili başvuru hakkının ihlal edildiğine karar verilmesi gerekir.</w:t>
      </w:r>
    </w:p>
    <w:p w:rsidR="00C2062D" w:rsidRPr="0045551C" w:rsidRDefault="004B13F9" w:rsidP="0045551C">
      <w:pPr>
        <w:widowControl/>
        <w:suppressAutoHyphens w:val="0"/>
        <w:spacing w:after="200"/>
        <w:ind w:left="283" w:right="283" w:firstLine="567"/>
        <w:jc w:val="both"/>
        <w:rPr>
          <w:color w:val="010000"/>
        </w:rPr>
      </w:pPr>
      <w:r w:rsidRPr="0045551C">
        <w:rPr>
          <w:b/>
          <w:color w:val="010000"/>
        </w:rPr>
        <w:t>B.</w:t>
      </w:r>
      <w:r w:rsidR="0045551C" w:rsidRPr="0045551C">
        <w:rPr>
          <w:color w:val="010000"/>
        </w:rPr>
        <w:t xml:space="preserve"> </w:t>
      </w:r>
      <w:r w:rsidRPr="0045551C">
        <w:rPr>
          <w:b/>
          <w:color w:val="010000"/>
        </w:rPr>
        <w:t>Makul Sürede Yargılanma Hakkının İhlal Edildiğine İlişkin İddia</w:t>
      </w:r>
    </w:p>
    <w:p w:rsidR="00C2062D" w:rsidRPr="0045551C" w:rsidRDefault="004B13F9" w:rsidP="0045551C">
      <w:pPr>
        <w:widowControl/>
        <w:suppressAutoHyphens w:val="0"/>
        <w:spacing w:after="200"/>
        <w:ind w:left="283" w:right="283" w:firstLine="567"/>
        <w:jc w:val="both"/>
        <w:rPr>
          <w:color w:val="010000"/>
        </w:rPr>
      </w:pPr>
      <w:r w:rsidRPr="0045551C">
        <w:rPr>
          <w:color w:val="010000"/>
        </w:rPr>
        <w:t xml:space="preserve">3. Anayasa Mahkemesi, olay ve olguları somut başvuru ile benzer nitelikte olan </w:t>
      </w:r>
      <w:r w:rsidRPr="0045551C">
        <w:rPr>
          <w:i/>
          <w:iCs/>
          <w:color w:val="010000"/>
        </w:rPr>
        <w:t>Ahmet Kartalkuş</w:t>
      </w:r>
      <w:r w:rsidRPr="0045551C">
        <w:rPr>
          <w:color w:val="010000"/>
        </w:rPr>
        <w:t xml:space="preserve"> (B. No: 2019/39635, 19/3/2024) kararında uygulanacak anayasal ilkeleri belirlemiştir. Bu çerçevede Anayasa Mahkemesi 12/3/2024 tarihinde yürürlüğe giren 2/3/2024 tarihli ve 7499 sayılı Kanun'la 9/1/2013 tarihli ve 6384 sayılı Tazminat Komisyonunun Görevleri ile Çalışma Usul ve Esasları Hakkında Kanun'a eklenen 5/A </w:t>
      </w:r>
      <w:r w:rsidRPr="0045551C">
        <w:rPr>
          <w:color w:val="010000"/>
        </w:rPr>
        <w:lastRenderedPageBreak/>
        <w:t>maddesi ve ayrıca anılan Kanun'un geçici 3. maddesinde yapılan değişiklik gereği 12/3/2024 tarihi itibarıyla Anayasa Mahkemesinde derdest olan, yargılamaların makul sürede sonuçlandırılmadığı iddiasıyla yapılan başvurulara ilişkin olarak ilk bakışta ulaşılabilir ve ihlal iddialarıyla ilgili başarı şansı sunma ve yeterli giderim sağlama kapasitesi olduğu görülen Tazminat Komisyonuna başvuru yolu tüketilmeden yapılan başvurunun incelenmesinin bireysel başvurunun ikincil niteliği ile bağdaşmayacağı neticesine varmıştır. Somut başvuruda anılan kararda açıklanan ilkelerden ve ulaşılan sonuçtan ayrılmayı gerektiren bir durum bulunmamaktadır.</w:t>
      </w:r>
    </w:p>
    <w:p w:rsidR="00C2062D" w:rsidRPr="0045551C" w:rsidRDefault="004B13F9" w:rsidP="0045551C">
      <w:pPr>
        <w:widowControl/>
        <w:suppressAutoHyphens w:val="0"/>
        <w:spacing w:after="200"/>
        <w:ind w:left="283" w:right="283" w:firstLine="567"/>
        <w:jc w:val="both"/>
        <w:rPr>
          <w:color w:val="010000"/>
        </w:rPr>
      </w:pPr>
      <w:r w:rsidRPr="0045551C">
        <w:rPr>
          <w:color w:val="010000"/>
        </w:rPr>
        <w:t>4.</w:t>
      </w:r>
      <w:r w:rsidR="0045551C" w:rsidRPr="0045551C">
        <w:rPr>
          <w:color w:val="010000"/>
        </w:rPr>
        <w:t xml:space="preserve"> </w:t>
      </w:r>
      <w:r w:rsidRPr="0045551C">
        <w:rPr>
          <w:color w:val="010000"/>
        </w:rPr>
        <w:t xml:space="preserve">Açıklanan gerekçelerle makul sürede yargılanma hakkının ihlal edildiği iddiasının </w:t>
      </w:r>
      <w:r w:rsidRPr="0045551C">
        <w:rPr>
          <w:i/>
          <w:iCs/>
          <w:color w:val="010000"/>
        </w:rPr>
        <w:t>başvuru yollarının tüketilmemesi</w:t>
      </w:r>
      <w:r w:rsidRPr="0045551C">
        <w:rPr>
          <w:color w:val="010000"/>
        </w:rPr>
        <w:t xml:space="preserve"> nedeniyle kabul edilemez olduğuna karar verilmesi gerekir.</w:t>
      </w:r>
    </w:p>
    <w:p w:rsidR="00C2062D" w:rsidRPr="0045551C" w:rsidRDefault="004B13F9" w:rsidP="0045551C">
      <w:pPr>
        <w:widowControl/>
        <w:suppressAutoHyphens w:val="0"/>
        <w:spacing w:after="200"/>
        <w:ind w:left="283" w:right="283" w:firstLine="567"/>
        <w:jc w:val="both"/>
        <w:rPr>
          <w:color w:val="010000"/>
        </w:rPr>
      </w:pPr>
      <w:r w:rsidRPr="0045551C">
        <w:rPr>
          <w:b/>
          <w:color w:val="010000"/>
        </w:rPr>
        <w:t>III.</w:t>
      </w:r>
      <w:r w:rsidR="0045551C" w:rsidRPr="0045551C">
        <w:rPr>
          <w:color w:val="010000"/>
        </w:rPr>
        <w:t xml:space="preserve"> </w:t>
      </w:r>
      <w:r w:rsidRPr="0045551C">
        <w:rPr>
          <w:b/>
          <w:color w:val="010000"/>
        </w:rPr>
        <w:t>GİDERİM</w:t>
      </w:r>
    </w:p>
    <w:p w:rsidR="00C2062D" w:rsidRPr="0045551C" w:rsidRDefault="004B13F9" w:rsidP="0045551C">
      <w:pPr>
        <w:widowControl/>
        <w:suppressAutoHyphens w:val="0"/>
        <w:spacing w:after="200"/>
        <w:ind w:left="283" w:right="283" w:firstLine="567"/>
        <w:jc w:val="both"/>
        <w:rPr>
          <w:color w:val="010000"/>
        </w:rPr>
      </w:pPr>
      <w:r w:rsidRPr="0045551C">
        <w:rPr>
          <w:color w:val="010000"/>
        </w:rPr>
        <w:t>5.</w:t>
      </w:r>
      <w:r w:rsidR="0045551C" w:rsidRPr="0045551C">
        <w:rPr>
          <w:color w:val="010000"/>
        </w:rPr>
        <w:t xml:space="preserve"> </w:t>
      </w:r>
      <w:r w:rsidRPr="0045551C">
        <w:rPr>
          <w:color w:val="010000"/>
        </w:rPr>
        <w:t>Başvurucu, ihlalin tespiti ile manevi tazminat taleplerinde bulunmuştur. Başvuruda tespit edilen hak ihlalinin sonuçlarının ortadan kaldırılması için teorik düzeyde etkili bir yol olduğu tespit edilen dava yolu, yapılan kanuni düzenleme nedeniyle pratikte başarı sunma kapasitesini yitirmiştir. Bu itibarla başvurucunun iddialarının esasının değerlendirilmesi ancak yeniden yargılama ile mümkün olduğundan yeniden yargılama yapılmasında hukuki 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w:t>
      </w:r>
      <w:r w:rsidRPr="0045551C">
        <w:rPr>
          <w:i/>
          <w:iCs/>
          <w:color w:val="010000"/>
        </w:rPr>
        <w:t>Mehmet Doğan</w:t>
      </w:r>
      <w:r w:rsidRPr="0045551C">
        <w:rPr>
          <w:color w:val="010000"/>
        </w:rPr>
        <w:t xml:space="preserve">, B. No: 2014/8875, 7/6/2018, §§ 54-60; </w:t>
      </w:r>
      <w:r w:rsidRPr="0045551C">
        <w:rPr>
          <w:i/>
          <w:iCs/>
          <w:color w:val="010000"/>
        </w:rPr>
        <w:t>Aligül Alkaya ve diğerleri (2)</w:t>
      </w:r>
      <w:r w:rsidRPr="0045551C">
        <w:rPr>
          <w:color w:val="010000"/>
        </w:rPr>
        <w:t xml:space="preserve">, B. No: 2016/12506, 7/11/2019, §§ 53-60, 66; </w:t>
      </w:r>
      <w:r w:rsidRPr="0045551C">
        <w:rPr>
          <w:i/>
          <w:iCs/>
          <w:color w:val="010000"/>
        </w:rPr>
        <w:t>Kadri Enis Berberoğlu (3)</w:t>
      </w:r>
      <w:r w:rsidRPr="0045551C">
        <w:rPr>
          <w:color w:val="010000"/>
        </w:rPr>
        <w:t>, B. No: 2020/32949, 21/1/2021, §§ 93-100). İhlalin ve sonuçlarının ortadan kaldırılması için yeniden yargılama yapılmasının yeterli giderim sağlayacağı anlaşıldığından manevi tazminat talebinin reddine karar verilmesi gerekir.</w:t>
      </w:r>
    </w:p>
    <w:p w:rsidR="00C2062D" w:rsidRPr="0045551C" w:rsidRDefault="004B13F9" w:rsidP="0045551C">
      <w:pPr>
        <w:widowControl/>
        <w:suppressAutoHyphens w:val="0"/>
        <w:spacing w:after="200"/>
        <w:ind w:left="283" w:right="283" w:firstLine="567"/>
        <w:jc w:val="both"/>
        <w:rPr>
          <w:color w:val="010000"/>
        </w:rPr>
      </w:pPr>
      <w:r w:rsidRPr="0045551C">
        <w:rPr>
          <w:b/>
          <w:color w:val="010000"/>
        </w:rPr>
        <w:t>IV.</w:t>
      </w:r>
      <w:r w:rsidR="0045551C" w:rsidRPr="0045551C">
        <w:rPr>
          <w:color w:val="010000"/>
        </w:rPr>
        <w:t xml:space="preserve"> </w:t>
      </w:r>
      <w:r w:rsidRPr="0045551C">
        <w:rPr>
          <w:b/>
          <w:color w:val="010000"/>
        </w:rPr>
        <w:t>HÜKÜM</w:t>
      </w:r>
    </w:p>
    <w:p w:rsidR="00C2062D" w:rsidRPr="0045551C" w:rsidRDefault="004B13F9" w:rsidP="0045551C">
      <w:pPr>
        <w:widowControl/>
        <w:suppressAutoHyphens w:val="0"/>
        <w:spacing w:after="200"/>
        <w:ind w:left="283" w:right="283" w:firstLine="567"/>
        <w:jc w:val="both"/>
        <w:rPr>
          <w:color w:val="010000"/>
        </w:rPr>
      </w:pPr>
      <w:r w:rsidRPr="0045551C">
        <w:rPr>
          <w:color w:val="010000"/>
        </w:rPr>
        <w:t>Açıklanan gerekçelerle;</w:t>
      </w:r>
    </w:p>
    <w:p w:rsidR="00C2062D" w:rsidRPr="0045551C" w:rsidRDefault="004B13F9" w:rsidP="0045551C">
      <w:pPr>
        <w:widowControl/>
        <w:suppressAutoHyphens w:val="0"/>
        <w:spacing w:after="200"/>
        <w:ind w:left="283" w:right="283" w:firstLine="567"/>
        <w:jc w:val="both"/>
        <w:rPr>
          <w:color w:val="010000"/>
        </w:rPr>
      </w:pPr>
      <w:r w:rsidRPr="0045551C">
        <w:rPr>
          <w:color w:val="010000"/>
        </w:rPr>
        <w:t>A.</w:t>
      </w:r>
      <w:r w:rsidR="0045551C" w:rsidRPr="0045551C">
        <w:rPr>
          <w:color w:val="010000"/>
        </w:rPr>
        <w:t xml:space="preserve"> </w:t>
      </w:r>
      <w:r w:rsidRPr="0045551C">
        <w:rPr>
          <w:color w:val="010000"/>
        </w:rPr>
        <w:t xml:space="preserve">1. Makul sürede yargılanma hakkının ihlal edildiğine ilişkin iddianın </w:t>
      </w:r>
      <w:r w:rsidRPr="0045551C">
        <w:rPr>
          <w:i/>
          <w:iCs/>
          <w:color w:val="010000"/>
        </w:rPr>
        <w:t>başvuru yollarının tüketilmemesi</w:t>
      </w:r>
      <w:r w:rsidRPr="0045551C">
        <w:rPr>
          <w:color w:val="010000"/>
        </w:rPr>
        <w:t xml:space="preserve"> nedeniyle KABUL EDİLEMEZ OLDUĞUNA,</w:t>
      </w:r>
    </w:p>
    <w:p w:rsidR="00C2062D" w:rsidRPr="0045551C" w:rsidRDefault="004B13F9" w:rsidP="0045551C">
      <w:pPr>
        <w:widowControl/>
        <w:suppressAutoHyphens w:val="0"/>
        <w:spacing w:after="200"/>
        <w:ind w:left="283" w:right="283" w:firstLine="850"/>
        <w:jc w:val="both"/>
        <w:rPr>
          <w:color w:val="010000"/>
        </w:rPr>
      </w:pPr>
      <w:r w:rsidRPr="0045551C">
        <w:rPr>
          <w:color w:val="010000"/>
        </w:rPr>
        <w:t>2. M</w:t>
      </w:r>
      <w:bookmarkStart w:id="0" w:name="_GoBack"/>
      <w:bookmarkEnd w:id="0"/>
      <w:r w:rsidRPr="0045551C">
        <w:rPr>
          <w:color w:val="010000"/>
        </w:rPr>
        <w:t>ülkiyet hakkıyla bağlantılı olarak etkili başvuru hakkının ihlal edildiğine ilişkin iddianın KABUL EDİLEBİLİR OLDUĞUNA,</w:t>
      </w:r>
    </w:p>
    <w:p w:rsidR="00C2062D" w:rsidRPr="0045551C" w:rsidRDefault="004B13F9" w:rsidP="0045551C">
      <w:pPr>
        <w:widowControl/>
        <w:suppressAutoHyphens w:val="0"/>
        <w:spacing w:after="200"/>
        <w:ind w:left="283" w:right="283" w:firstLine="567"/>
        <w:jc w:val="both"/>
        <w:rPr>
          <w:color w:val="010000"/>
        </w:rPr>
      </w:pPr>
      <w:r w:rsidRPr="0045551C">
        <w:rPr>
          <w:color w:val="010000"/>
        </w:rPr>
        <w:t>B.</w:t>
      </w:r>
      <w:r w:rsidR="0045551C" w:rsidRPr="0045551C">
        <w:rPr>
          <w:color w:val="010000"/>
        </w:rPr>
        <w:t xml:space="preserve"> </w:t>
      </w:r>
      <w:r w:rsidRPr="0045551C">
        <w:rPr>
          <w:color w:val="010000"/>
        </w:rPr>
        <w:t>Anayasa’nın 35. maddesinde güvence altına alınan mülkiyet hakkı ile bağlantılı olarak Anayasa'nın 40. maddesinde düzenlenen etkili başvuru hakkının İHLAL EDİLDİĞİNE,</w:t>
      </w:r>
    </w:p>
    <w:p w:rsidR="00C2062D" w:rsidRPr="0045551C" w:rsidRDefault="004B13F9" w:rsidP="0045551C">
      <w:pPr>
        <w:widowControl/>
        <w:suppressAutoHyphens w:val="0"/>
        <w:spacing w:after="200"/>
        <w:ind w:left="283" w:right="283" w:firstLine="567"/>
        <w:jc w:val="both"/>
        <w:rPr>
          <w:color w:val="010000"/>
        </w:rPr>
      </w:pPr>
      <w:r w:rsidRPr="0045551C">
        <w:rPr>
          <w:color w:val="010000"/>
        </w:rPr>
        <w:t>C.</w:t>
      </w:r>
      <w:r w:rsidR="0045551C" w:rsidRPr="0045551C">
        <w:rPr>
          <w:color w:val="010000"/>
        </w:rPr>
        <w:t xml:space="preserve"> </w:t>
      </w:r>
      <w:r w:rsidRPr="0045551C">
        <w:rPr>
          <w:color w:val="010000"/>
        </w:rPr>
        <w:t>Kararın bir örneğinin mülkiyet hakkı ile bağlantılı olarak etkili başvuru hakkının ihlalinin sonuçlarının ortadan kaldırılması için yeniden yargılama yapılmak üzere Konya 2. Asliye Ticaret Mahkemesine (E.2020/255, K.2020/256) GÖNDERİLMESİNE,</w:t>
      </w:r>
    </w:p>
    <w:p w:rsidR="00C2062D" w:rsidRPr="0045551C" w:rsidRDefault="004B13F9" w:rsidP="0045551C">
      <w:pPr>
        <w:pStyle w:val="edf1393440552765"/>
        <w:widowControl/>
        <w:suppressAutoHyphens w:val="0"/>
        <w:spacing w:after="200"/>
        <w:ind w:left="283" w:right="283" w:firstLine="567"/>
        <w:jc w:val="both"/>
        <w:rPr>
          <w:rFonts w:cs="Times New Roman"/>
          <w:color w:val="010000"/>
        </w:rPr>
      </w:pPr>
      <w:r w:rsidRPr="0045551C">
        <w:rPr>
          <w:rFonts w:cs="Times New Roman"/>
          <w:color w:val="010000"/>
        </w:rPr>
        <w:t>D.</w:t>
      </w:r>
      <w:r w:rsidR="0045551C" w:rsidRPr="0045551C">
        <w:rPr>
          <w:rFonts w:cs="Times New Roman"/>
          <w:color w:val="010000"/>
        </w:rPr>
        <w:t xml:space="preserve"> </w:t>
      </w:r>
      <w:r w:rsidRPr="0045551C">
        <w:rPr>
          <w:rFonts w:cs="Times New Roman"/>
          <w:color w:val="010000"/>
        </w:rPr>
        <w:t>Başvurucunun tazminat talebinin REDDİNE,</w:t>
      </w:r>
    </w:p>
    <w:p w:rsidR="00C2062D" w:rsidRPr="0045551C" w:rsidRDefault="004B13F9" w:rsidP="0045551C">
      <w:pPr>
        <w:pStyle w:val="edf1393440552765"/>
        <w:widowControl/>
        <w:suppressAutoHyphens w:val="0"/>
        <w:spacing w:after="200"/>
        <w:ind w:left="283" w:right="283" w:firstLine="567"/>
        <w:jc w:val="both"/>
        <w:rPr>
          <w:rFonts w:cs="Times New Roman"/>
          <w:color w:val="010000"/>
        </w:rPr>
      </w:pPr>
      <w:r w:rsidRPr="0045551C">
        <w:rPr>
          <w:rFonts w:cs="Times New Roman"/>
          <w:color w:val="010000"/>
        </w:rPr>
        <w:t>E.</w:t>
      </w:r>
      <w:r w:rsidR="0045551C" w:rsidRPr="0045551C">
        <w:rPr>
          <w:rFonts w:cs="Times New Roman"/>
          <w:color w:val="010000"/>
        </w:rPr>
        <w:t xml:space="preserve"> </w:t>
      </w:r>
      <w:r w:rsidRPr="0045551C">
        <w:rPr>
          <w:rFonts w:cs="Times New Roman"/>
          <w:color w:val="010000"/>
        </w:rPr>
        <w:t xml:space="preserve">664,10 TL harç ve 30.000 TL vekâlet ücretinden oluşan toplam 30.664,10 TL yargılama giderinin başvurucuya ÖDENMESİNE, </w:t>
      </w:r>
    </w:p>
    <w:p w:rsidR="00C2062D" w:rsidRPr="0045551C" w:rsidRDefault="004B13F9" w:rsidP="0045551C">
      <w:pPr>
        <w:pStyle w:val="edf1393440552765"/>
        <w:widowControl/>
        <w:suppressAutoHyphens w:val="0"/>
        <w:spacing w:after="200"/>
        <w:ind w:left="283" w:right="283" w:firstLine="567"/>
        <w:jc w:val="both"/>
        <w:rPr>
          <w:rFonts w:cs="Times New Roman"/>
          <w:color w:val="010000"/>
        </w:rPr>
      </w:pPr>
      <w:r w:rsidRPr="0045551C">
        <w:rPr>
          <w:rFonts w:cs="Times New Roman"/>
          <w:color w:val="010000"/>
        </w:rPr>
        <w:t>F.</w:t>
      </w:r>
      <w:r w:rsidR="0045551C" w:rsidRPr="0045551C">
        <w:rPr>
          <w:rFonts w:cs="Times New Roman"/>
          <w:color w:val="010000"/>
        </w:rPr>
        <w:t xml:space="preserve"> </w:t>
      </w:r>
      <w:r w:rsidRPr="0045551C">
        <w:rPr>
          <w:rFonts w:cs="Times New Roman"/>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C2062D" w:rsidRPr="0045551C" w:rsidRDefault="004B13F9" w:rsidP="0045551C">
      <w:pPr>
        <w:widowControl/>
        <w:suppressAutoHyphens w:val="0"/>
        <w:spacing w:after="200"/>
        <w:ind w:left="283" w:right="283" w:firstLine="567"/>
        <w:jc w:val="both"/>
        <w:rPr>
          <w:color w:val="010000"/>
        </w:rPr>
      </w:pPr>
      <w:r w:rsidRPr="0045551C">
        <w:rPr>
          <w:color w:val="010000"/>
        </w:rPr>
        <w:lastRenderedPageBreak/>
        <w:t>G.</w:t>
      </w:r>
      <w:r w:rsidR="0045551C" w:rsidRPr="0045551C">
        <w:rPr>
          <w:color w:val="010000"/>
        </w:rPr>
        <w:t xml:space="preserve"> </w:t>
      </w:r>
      <w:r w:rsidRPr="0045551C">
        <w:rPr>
          <w:color w:val="010000"/>
        </w:rPr>
        <w:t>Kararın bir örneğinin Adalet Bakanlığına GÖNDERİLMESİNE 10/12/2024 tarihinde OYBİRLİĞİYLE karar verildi.</w:t>
      </w:r>
    </w:p>
    <w:sectPr w:rsidR="00C2062D" w:rsidRPr="0045551C" w:rsidSect="0045551C">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062D" w:rsidRDefault="004B13F9">
      <w:r>
        <w:separator/>
      </w:r>
    </w:p>
  </w:endnote>
  <w:endnote w:type="continuationSeparator" w:id="0">
    <w:p w:rsidR="00C2062D" w:rsidRDefault="004B13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062D" w:rsidRDefault="004B13F9">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4</w:t>
    </w:r>
    <w:r>
      <w:rPr>
        <w:rFonts w:ascii="Arial" w:hAnsi="Arial"/>
        <w:color w:val="000000"/>
        <w:sz w:val="22"/>
      </w:rPr>
      <w:fldChar w:fldCharType="end"/>
    </w:r>
  </w:p>
  <w:p w:rsidR="00C2062D" w:rsidRDefault="00C2062D">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062D" w:rsidRDefault="004B13F9">
      <w:r>
        <w:separator/>
      </w:r>
    </w:p>
  </w:footnote>
  <w:footnote w:type="continuationSeparator" w:id="0">
    <w:p w:rsidR="00C2062D" w:rsidRDefault="004B13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062D" w:rsidRDefault="004B13F9">
    <w:pPr>
      <w:pStyle w:val="stBilgi"/>
      <w:tabs>
        <w:tab w:val="left" w:pos="2020"/>
      </w:tabs>
      <w:spacing w:line="288" w:lineRule="exact"/>
    </w:pPr>
    <w:r>
      <w:t>Başvuru Numarası</w:t>
    </w:r>
    <w:r>
      <w:tab/>
      <w:t>: 2022/21157</w:t>
    </w:r>
  </w:p>
  <w:p w:rsidR="00C2062D" w:rsidRDefault="004B13F9" w:rsidP="0045551C">
    <w:pPr>
      <w:pStyle w:val="stBilgi"/>
      <w:tabs>
        <w:tab w:val="left" w:pos="2020"/>
      </w:tabs>
      <w:spacing w:line="288" w:lineRule="exact"/>
    </w:pPr>
    <w:r>
      <w:t>Karar Tarihi</w:t>
    </w:r>
    <w:r>
      <w:tab/>
      <w:t>:</w:t>
    </w:r>
    <w:r w:rsidR="0045551C">
      <w:t xml:space="preserve"> </w:t>
    </w:r>
    <w:r>
      <w:t>10/12/2024</w:t>
    </w:r>
  </w:p>
  <w:p w:rsidR="0045551C" w:rsidRDefault="0045551C" w:rsidP="0045551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3F9"/>
    <w:rsid w:val="0045551C"/>
    <w:rsid w:val="004B13F9"/>
    <w:rsid w:val="00C206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5CBA6D9D"/>
  <w15:chartTrackingRefBased/>
  <w15:docId w15:val="{068F2D54-BE61-401A-836D-45F99459F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22965978455">
    <w:name w:val="edf_1422965978455"/>
    <w:pPr>
      <w:widowControl w:val="0"/>
      <w:suppressAutoHyphens/>
    </w:pPr>
    <w:rPr>
      <w:rFonts w:eastAsia="Andale Sans UI" w:cs="Tahoma"/>
      <w:kern w:val="2"/>
      <w:sz w:val="24"/>
      <w:szCs w:val="24"/>
      <w:lang w:eastAsia="ja-JP" w:bidi="fa-IR"/>
    </w:rPr>
  </w:style>
  <w:style w:type="paragraph" w:customStyle="1" w:styleId="edf1426775879436">
    <w:name w:val="edf_1426775879436"/>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edf1424252369604">
    <w:name w:val="edf_1424252369604"/>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49437129215">
    <w:name w:val="edf_144943712921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50278888507">
    <w:name w:val="edf_1450278888507"/>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28486758178">
    <w:name w:val="edf_1428486758178"/>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826</Words>
  <Characters>4711</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EMEL ÜNSALAN</dc:creator>
  <cp:keywords/>
  <cp:lastModifiedBy>Sibel YÖNDEM</cp:lastModifiedBy>
  <cp:revision>3</cp:revision>
  <cp:lastPrinted>1995-11-21T14:41:00Z</cp:lastPrinted>
  <dcterms:created xsi:type="dcterms:W3CDTF">2025-05-13T06:57:00Z</dcterms:created>
  <dcterms:modified xsi:type="dcterms:W3CDTF">2025-05-14T14:29:00Z</dcterms:modified>
</cp:coreProperties>
</file>