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9B2831" w:rsidRDefault="009B2831" w:rsidP="009B2831">
      <w:pPr>
        <w:widowControl/>
        <w:suppressAutoHyphens w:val="0"/>
        <w:spacing w:after="200"/>
        <w:ind w:left="283" w:right="283" w:firstLine="567"/>
        <w:jc w:val="both"/>
        <w:rPr>
          <w:b/>
          <w:color w:val="010000"/>
          <w:sz w:val="28"/>
        </w:rPr>
      </w:pPr>
    </w:p>
    <w:p w:rsidR="009B2831" w:rsidRDefault="009B2831" w:rsidP="009B2831">
      <w:pPr>
        <w:widowControl/>
        <w:suppressAutoHyphens w:val="0"/>
        <w:spacing w:after="200"/>
        <w:ind w:left="283" w:right="283" w:firstLine="567"/>
        <w:jc w:val="both"/>
        <w:rPr>
          <w:b/>
          <w:color w:val="010000"/>
          <w:sz w:val="28"/>
        </w:rPr>
      </w:pPr>
    </w:p>
    <w:p w:rsidR="009B2831" w:rsidRDefault="009B2831" w:rsidP="009B2831">
      <w:pPr>
        <w:widowControl/>
        <w:suppressAutoHyphens w:val="0"/>
        <w:spacing w:after="200"/>
        <w:ind w:left="283" w:right="283" w:firstLine="567"/>
        <w:jc w:val="both"/>
        <w:rPr>
          <w:b/>
          <w:color w:val="010000"/>
          <w:sz w:val="28"/>
        </w:rPr>
      </w:pPr>
    </w:p>
    <w:p w:rsidR="009B2831" w:rsidRDefault="009B2831" w:rsidP="009B2831">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9B2831" w:rsidRPr="009B2831" w:rsidTr="009B2831">
        <w:tblPrEx>
          <w:tblCellMar>
            <w:top w:w="0" w:type="dxa"/>
            <w:bottom w:w="0" w:type="dxa"/>
          </w:tblCellMar>
        </w:tblPrEx>
        <w:trPr>
          <w:trHeight w:val="500"/>
          <w:jc w:val="center"/>
        </w:trPr>
        <w:tc>
          <w:tcPr>
            <w:tcW w:w="9072" w:type="dxa"/>
            <w:vAlign w:val="center"/>
          </w:tcPr>
          <w:p w:rsidR="009B2831" w:rsidRPr="009B2831" w:rsidRDefault="009B2831" w:rsidP="009B2831">
            <w:pPr>
              <w:widowControl/>
              <w:suppressAutoHyphens w:val="0"/>
              <w:spacing w:after="200"/>
              <w:ind w:right="283"/>
              <w:jc w:val="center"/>
              <w:rPr>
                <w:b/>
                <w:color w:val="010000"/>
                <w:sz w:val="28"/>
              </w:rPr>
            </w:pPr>
            <w:r>
              <w:rPr>
                <w:b/>
                <w:color w:val="010000"/>
                <w:sz w:val="28"/>
              </w:rPr>
              <w:t>TÜRKİYE CUMHURİYETİ</w:t>
            </w:r>
          </w:p>
        </w:tc>
      </w:tr>
      <w:tr w:rsidR="009B2831" w:rsidRPr="009B2831" w:rsidTr="009B2831">
        <w:tblPrEx>
          <w:tblCellMar>
            <w:top w:w="0" w:type="dxa"/>
            <w:bottom w:w="0" w:type="dxa"/>
          </w:tblCellMar>
        </w:tblPrEx>
        <w:trPr>
          <w:trHeight w:val="500"/>
          <w:jc w:val="center"/>
        </w:trPr>
        <w:tc>
          <w:tcPr>
            <w:tcW w:w="9072" w:type="dxa"/>
            <w:vAlign w:val="center"/>
          </w:tcPr>
          <w:p w:rsidR="009B2831" w:rsidRPr="009B2831" w:rsidRDefault="009B2831" w:rsidP="009B2831">
            <w:pPr>
              <w:widowControl/>
              <w:suppressAutoHyphens w:val="0"/>
              <w:spacing w:after="200"/>
              <w:ind w:right="283"/>
              <w:jc w:val="center"/>
              <w:rPr>
                <w:b/>
                <w:color w:val="010000"/>
                <w:sz w:val="32"/>
              </w:rPr>
            </w:pPr>
            <w:r>
              <w:rPr>
                <w:b/>
                <w:color w:val="010000"/>
                <w:sz w:val="32"/>
              </w:rPr>
              <w:t>ANAYASA MAHKEMESİ</w:t>
            </w:r>
          </w:p>
        </w:tc>
      </w:tr>
      <w:tr w:rsidR="009B2831" w:rsidRPr="009B2831" w:rsidTr="009B2831">
        <w:tblPrEx>
          <w:tblCellMar>
            <w:top w:w="0" w:type="dxa"/>
            <w:bottom w:w="0" w:type="dxa"/>
          </w:tblCellMar>
        </w:tblPrEx>
        <w:trPr>
          <w:trHeight w:val="500"/>
          <w:jc w:val="center"/>
        </w:trPr>
        <w:tc>
          <w:tcPr>
            <w:tcW w:w="9072" w:type="dxa"/>
            <w:vAlign w:val="center"/>
          </w:tcPr>
          <w:p w:rsidR="009B2831" w:rsidRPr="009B2831" w:rsidRDefault="009B2831" w:rsidP="009B2831">
            <w:pPr>
              <w:widowControl/>
              <w:suppressAutoHyphens w:val="0"/>
              <w:spacing w:after="200"/>
              <w:ind w:right="283"/>
              <w:jc w:val="center"/>
              <w:rPr>
                <w:b/>
                <w:color w:val="010000"/>
              </w:rPr>
            </w:pPr>
          </w:p>
        </w:tc>
      </w:tr>
      <w:tr w:rsidR="009B2831" w:rsidRPr="009B2831" w:rsidTr="009B2831">
        <w:tblPrEx>
          <w:tblCellMar>
            <w:top w:w="0" w:type="dxa"/>
            <w:bottom w:w="0" w:type="dxa"/>
          </w:tblCellMar>
        </w:tblPrEx>
        <w:trPr>
          <w:trHeight w:val="500"/>
          <w:jc w:val="center"/>
        </w:trPr>
        <w:tc>
          <w:tcPr>
            <w:tcW w:w="9072" w:type="dxa"/>
            <w:vAlign w:val="center"/>
          </w:tcPr>
          <w:p w:rsidR="009B2831" w:rsidRPr="009B2831" w:rsidRDefault="009B2831" w:rsidP="009B2831">
            <w:pPr>
              <w:widowControl/>
              <w:suppressAutoHyphens w:val="0"/>
              <w:spacing w:after="200"/>
              <w:ind w:right="283"/>
              <w:jc w:val="center"/>
              <w:rPr>
                <w:b/>
                <w:color w:val="010000"/>
              </w:rPr>
            </w:pPr>
          </w:p>
        </w:tc>
      </w:tr>
      <w:tr w:rsidR="009B2831" w:rsidRPr="009B2831" w:rsidTr="009B2831">
        <w:tblPrEx>
          <w:tblCellMar>
            <w:top w:w="0" w:type="dxa"/>
            <w:bottom w:w="0" w:type="dxa"/>
          </w:tblCellMar>
        </w:tblPrEx>
        <w:trPr>
          <w:trHeight w:val="500"/>
          <w:jc w:val="center"/>
        </w:trPr>
        <w:tc>
          <w:tcPr>
            <w:tcW w:w="9072" w:type="dxa"/>
            <w:vAlign w:val="center"/>
          </w:tcPr>
          <w:p w:rsidR="009B2831" w:rsidRPr="009B2831" w:rsidRDefault="009B2831" w:rsidP="009B2831">
            <w:pPr>
              <w:widowControl/>
              <w:suppressAutoHyphens w:val="0"/>
              <w:spacing w:after="200"/>
              <w:ind w:right="283"/>
              <w:jc w:val="center"/>
              <w:rPr>
                <w:b/>
                <w:color w:val="010000"/>
              </w:rPr>
            </w:pPr>
            <w:r>
              <w:rPr>
                <w:b/>
                <w:color w:val="010000"/>
              </w:rPr>
              <w:t>İKİNCİ BÖLÜM</w:t>
            </w:r>
          </w:p>
        </w:tc>
      </w:tr>
      <w:tr w:rsidR="009B2831" w:rsidRPr="009B2831" w:rsidTr="009B2831">
        <w:tblPrEx>
          <w:tblCellMar>
            <w:top w:w="0" w:type="dxa"/>
            <w:bottom w:w="0" w:type="dxa"/>
          </w:tblCellMar>
        </w:tblPrEx>
        <w:trPr>
          <w:trHeight w:val="500"/>
          <w:jc w:val="center"/>
        </w:trPr>
        <w:tc>
          <w:tcPr>
            <w:tcW w:w="9072" w:type="dxa"/>
            <w:vAlign w:val="center"/>
          </w:tcPr>
          <w:p w:rsidR="009B2831" w:rsidRPr="009B2831" w:rsidRDefault="009B2831" w:rsidP="009B2831">
            <w:pPr>
              <w:widowControl/>
              <w:suppressAutoHyphens w:val="0"/>
              <w:spacing w:after="200"/>
              <w:ind w:right="283"/>
              <w:jc w:val="center"/>
              <w:rPr>
                <w:b/>
                <w:color w:val="010000"/>
              </w:rPr>
            </w:pPr>
          </w:p>
        </w:tc>
      </w:tr>
      <w:tr w:rsidR="009B2831" w:rsidRPr="009B2831" w:rsidTr="009B2831">
        <w:tblPrEx>
          <w:tblCellMar>
            <w:top w:w="0" w:type="dxa"/>
            <w:bottom w:w="0" w:type="dxa"/>
          </w:tblCellMar>
        </w:tblPrEx>
        <w:trPr>
          <w:trHeight w:val="500"/>
          <w:jc w:val="center"/>
        </w:trPr>
        <w:tc>
          <w:tcPr>
            <w:tcW w:w="9072" w:type="dxa"/>
            <w:vAlign w:val="center"/>
          </w:tcPr>
          <w:p w:rsidR="009B2831" w:rsidRPr="009B2831" w:rsidRDefault="009B2831" w:rsidP="009B2831">
            <w:pPr>
              <w:widowControl/>
              <w:suppressAutoHyphens w:val="0"/>
              <w:spacing w:after="200"/>
              <w:ind w:right="283"/>
              <w:jc w:val="center"/>
              <w:rPr>
                <w:b/>
                <w:color w:val="010000"/>
              </w:rPr>
            </w:pPr>
            <w:r>
              <w:rPr>
                <w:b/>
                <w:color w:val="010000"/>
              </w:rPr>
              <w:t>KARAR</w:t>
            </w:r>
          </w:p>
        </w:tc>
      </w:tr>
      <w:tr w:rsidR="009B2831" w:rsidRPr="009B2831" w:rsidTr="009B2831">
        <w:tblPrEx>
          <w:tblCellMar>
            <w:top w:w="0" w:type="dxa"/>
            <w:bottom w:w="0" w:type="dxa"/>
          </w:tblCellMar>
        </w:tblPrEx>
        <w:trPr>
          <w:trHeight w:val="500"/>
          <w:jc w:val="center"/>
        </w:trPr>
        <w:tc>
          <w:tcPr>
            <w:tcW w:w="9072" w:type="dxa"/>
            <w:vAlign w:val="center"/>
          </w:tcPr>
          <w:p w:rsidR="009B2831" w:rsidRPr="009B2831" w:rsidRDefault="009B2831" w:rsidP="009B2831">
            <w:pPr>
              <w:widowControl/>
              <w:suppressAutoHyphens w:val="0"/>
              <w:spacing w:after="200"/>
              <w:ind w:right="283"/>
              <w:jc w:val="center"/>
              <w:rPr>
                <w:b/>
                <w:color w:val="010000"/>
              </w:rPr>
            </w:pPr>
          </w:p>
        </w:tc>
      </w:tr>
      <w:tr w:rsidR="009B2831" w:rsidRPr="009B2831" w:rsidTr="009B2831">
        <w:tblPrEx>
          <w:tblCellMar>
            <w:top w:w="0" w:type="dxa"/>
            <w:bottom w:w="0" w:type="dxa"/>
          </w:tblCellMar>
        </w:tblPrEx>
        <w:trPr>
          <w:trHeight w:val="500"/>
          <w:jc w:val="center"/>
        </w:trPr>
        <w:tc>
          <w:tcPr>
            <w:tcW w:w="9072" w:type="dxa"/>
            <w:vAlign w:val="center"/>
          </w:tcPr>
          <w:p w:rsidR="009B2831" w:rsidRPr="009B2831" w:rsidRDefault="009B2831" w:rsidP="009B2831">
            <w:pPr>
              <w:widowControl/>
              <w:suppressAutoHyphens w:val="0"/>
              <w:spacing w:after="200"/>
              <w:ind w:right="283"/>
              <w:jc w:val="center"/>
              <w:rPr>
                <w:b/>
                <w:color w:val="010000"/>
              </w:rPr>
            </w:pPr>
            <w:r>
              <w:rPr>
                <w:b/>
                <w:color w:val="010000"/>
              </w:rPr>
              <w:t>HİLMİ DİVOĞLU VE DİĞERLERİ BAŞVURUSU</w:t>
            </w:r>
          </w:p>
        </w:tc>
      </w:tr>
      <w:tr w:rsidR="009B2831" w:rsidRPr="009B2831" w:rsidTr="009B2831">
        <w:tblPrEx>
          <w:tblCellMar>
            <w:top w:w="0" w:type="dxa"/>
            <w:bottom w:w="0" w:type="dxa"/>
          </w:tblCellMar>
        </w:tblPrEx>
        <w:trPr>
          <w:trHeight w:val="500"/>
          <w:jc w:val="center"/>
        </w:trPr>
        <w:tc>
          <w:tcPr>
            <w:tcW w:w="9072" w:type="dxa"/>
            <w:vAlign w:val="center"/>
          </w:tcPr>
          <w:p w:rsidR="009B2831" w:rsidRPr="009B2831" w:rsidRDefault="009B2831" w:rsidP="009B2831">
            <w:pPr>
              <w:widowControl/>
              <w:suppressAutoHyphens w:val="0"/>
              <w:spacing w:after="200"/>
              <w:ind w:right="283"/>
              <w:jc w:val="center"/>
              <w:rPr>
                <w:color w:val="010000"/>
              </w:rPr>
            </w:pPr>
            <w:r>
              <w:rPr>
                <w:color w:val="010000"/>
              </w:rPr>
              <w:t>(Başvuru Numarası: 2022/68091)</w:t>
            </w:r>
          </w:p>
        </w:tc>
      </w:tr>
      <w:tr w:rsidR="009B2831" w:rsidRPr="009B2831" w:rsidTr="009B2831">
        <w:tblPrEx>
          <w:tblCellMar>
            <w:top w:w="0" w:type="dxa"/>
            <w:bottom w:w="0" w:type="dxa"/>
          </w:tblCellMar>
        </w:tblPrEx>
        <w:trPr>
          <w:trHeight w:val="500"/>
          <w:jc w:val="center"/>
        </w:trPr>
        <w:tc>
          <w:tcPr>
            <w:tcW w:w="9072" w:type="dxa"/>
            <w:vAlign w:val="center"/>
          </w:tcPr>
          <w:p w:rsidR="009B2831" w:rsidRPr="009B2831" w:rsidRDefault="009B2831" w:rsidP="009B2831">
            <w:pPr>
              <w:widowControl/>
              <w:suppressAutoHyphens w:val="0"/>
              <w:spacing w:after="200"/>
              <w:ind w:right="283"/>
              <w:jc w:val="center"/>
              <w:rPr>
                <w:b/>
                <w:color w:val="010000"/>
              </w:rPr>
            </w:pPr>
          </w:p>
        </w:tc>
      </w:tr>
      <w:tr w:rsidR="009B2831" w:rsidRPr="009B2831" w:rsidTr="009B2831">
        <w:tblPrEx>
          <w:tblCellMar>
            <w:top w:w="0" w:type="dxa"/>
            <w:bottom w:w="0" w:type="dxa"/>
          </w:tblCellMar>
        </w:tblPrEx>
        <w:trPr>
          <w:trHeight w:val="500"/>
          <w:jc w:val="center"/>
        </w:trPr>
        <w:tc>
          <w:tcPr>
            <w:tcW w:w="9072" w:type="dxa"/>
            <w:vAlign w:val="center"/>
          </w:tcPr>
          <w:p w:rsidR="009B2831" w:rsidRPr="009B2831" w:rsidRDefault="009B2831" w:rsidP="009B2831">
            <w:pPr>
              <w:widowControl/>
              <w:suppressAutoHyphens w:val="0"/>
              <w:spacing w:after="200"/>
              <w:ind w:right="283"/>
              <w:jc w:val="center"/>
              <w:rPr>
                <w:color w:val="010000"/>
              </w:rPr>
            </w:pPr>
            <w:r>
              <w:rPr>
                <w:color w:val="010000"/>
              </w:rPr>
              <w:t>Karar Tarihi:17/12/2024</w:t>
            </w:r>
          </w:p>
        </w:tc>
      </w:tr>
      <w:tr w:rsidR="009B2831" w:rsidRPr="009B2831" w:rsidTr="009B2831">
        <w:tblPrEx>
          <w:tblCellMar>
            <w:top w:w="0" w:type="dxa"/>
            <w:bottom w:w="0" w:type="dxa"/>
          </w:tblCellMar>
        </w:tblPrEx>
        <w:trPr>
          <w:trHeight w:val="500"/>
          <w:jc w:val="center"/>
        </w:trPr>
        <w:tc>
          <w:tcPr>
            <w:tcW w:w="9072" w:type="dxa"/>
            <w:vAlign w:val="center"/>
          </w:tcPr>
          <w:p w:rsidR="009B2831" w:rsidRPr="009B2831" w:rsidRDefault="009B2831" w:rsidP="009B2831">
            <w:pPr>
              <w:widowControl/>
              <w:suppressAutoHyphens w:val="0"/>
              <w:spacing w:after="200"/>
              <w:ind w:right="283"/>
              <w:jc w:val="center"/>
              <w:rPr>
                <w:color w:val="010000"/>
              </w:rPr>
            </w:pPr>
          </w:p>
        </w:tc>
      </w:tr>
      <w:tr w:rsidR="009B2831" w:rsidRPr="009B2831" w:rsidTr="009B2831">
        <w:tblPrEx>
          <w:tblCellMar>
            <w:top w:w="0" w:type="dxa"/>
            <w:bottom w:w="0" w:type="dxa"/>
          </w:tblCellMar>
        </w:tblPrEx>
        <w:trPr>
          <w:trHeight w:val="500"/>
          <w:jc w:val="center"/>
        </w:trPr>
        <w:tc>
          <w:tcPr>
            <w:tcW w:w="9072" w:type="dxa"/>
            <w:vAlign w:val="center"/>
          </w:tcPr>
          <w:p w:rsidR="009B2831" w:rsidRPr="009B2831" w:rsidRDefault="009B2831" w:rsidP="009B2831">
            <w:pPr>
              <w:widowControl/>
              <w:suppressAutoHyphens w:val="0"/>
              <w:spacing w:after="200"/>
              <w:ind w:right="283"/>
              <w:jc w:val="center"/>
              <w:rPr>
                <w:b/>
                <w:color w:val="010000"/>
              </w:rPr>
            </w:pPr>
          </w:p>
        </w:tc>
      </w:tr>
      <w:tr w:rsidR="009B2831" w:rsidRPr="009B2831" w:rsidTr="009B2831">
        <w:tblPrEx>
          <w:tblCellMar>
            <w:top w:w="0" w:type="dxa"/>
            <w:bottom w:w="0" w:type="dxa"/>
          </w:tblCellMar>
        </w:tblPrEx>
        <w:trPr>
          <w:trHeight w:val="500"/>
          <w:jc w:val="center"/>
        </w:trPr>
        <w:tc>
          <w:tcPr>
            <w:tcW w:w="9072" w:type="dxa"/>
            <w:vAlign w:val="center"/>
          </w:tcPr>
          <w:p w:rsidR="009B2831" w:rsidRPr="009B2831" w:rsidRDefault="009B2831" w:rsidP="009B2831">
            <w:pPr>
              <w:widowControl/>
              <w:suppressAutoHyphens w:val="0"/>
              <w:spacing w:after="200"/>
              <w:ind w:right="283"/>
              <w:jc w:val="center"/>
              <w:rPr>
                <w:b/>
                <w:color w:val="010000"/>
              </w:rPr>
            </w:pPr>
          </w:p>
        </w:tc>
      </w:tr>
      <w:tr w:rsidR="009B2831" w:rsidRPr="009B2831" w:rsidTr="009B2831">
        <w:tblPrEx>
          <w:tblCellMar>
            <w:top w:w="0" w:type="dxa"/>
            <w:bottom w:w="0" w:type="dxa"/>
          </w:tblCellMar>
        </w:tblPrEx>
        <w:trPr>
          <w:trHeight w:val="500"/>
          <w:jc w:val="center"/>
        </w:trPr>
        <w:tc>
          <w:tcPr>
            <w:tcW w:w="9072" w:type="dxa"/>
            <w:vAlign w:val="center"/>
          </w:tcPr>
          <w:p w:rsidR="009B2831" w:rsidRPr="009B2831" w:rsidRDefault="009B2831" w:rsidP="009B2831">
            <w:pPr>
              <w:widowControl/>
              <w:suppressAutoHyphens w:val="0"/>
              <w:spacing w:after="200"/>
              <w:ind w:right="283"/>
              <w:jc w:val="center"/>
              <w:rPr>
                <w:b/>
                <w:color w:val="010000"/>
              </w:rPr>
            </w:pPr>
          </w:p>
        </w:tc>
      </w:tr>
      <w:tr w:rsidR="009B2831" w:rsidRPr="009B2831" w:rsidTr="009B2831">
        <w:tblPrEx>
          <w:tblCellMar>
            <w:top w:w="0" w:type="dxa"/>
            <w:bottom w:w="0" w:type="dxa"/>
          </w:tblCellMar>
        </w:tblPrEx>
        <w:trPr>
          <w:trHeight w:val="500"/>
          <w:jc w:val="center"/>
        </w:trPr>
        <w:tc>
          <w:tcPr>
            <w:tcW w:w="9072" w:type="dxa"/>
            <w:vAlign w:val="center"/>
          </w:tcPr>
          <w:p w:rsidR="009B2831" w:rsidRPr="009B2831" w:rsidRDefault="009B2831" w:rsidP="009B2831">
            <w:pPr>
              <w:widowControl/>
              <w:suppressAutoHyphens w:val="0"/>
              <w:spacing w:after="200"/>
              <w:ind w:right="283"/>
              <w:jc w:val="center"/>
              <w:rPr>
                <w:b/>
                <w:color w:val="010000"/>
              </w:rPr>
            </w:pPr>
          </w:p>
        </w:tc>
      </w:tr>
    </w:tbl>
    <w:p w:rsidR="009B2831" w:rsidRDefault="009B2831" w:rsidP="009B2831">
      <w:pPr>
        <w:widowControl/>
        <w:suppressAutoHyphens w:val="0"/>
        <w:spacing w:after="200"/>
        <w:ind w:left="283" w:right="283" w:firstLine="567"/>
        <w:jc w:val="both"/>
        <w:rPr>
          <w:b/>
          <w:color w:val="010000"/>
        </w:rPr>
        <w:sectPr w:rsidR="009B2831" w:rsidSect="009B2831">
          <w:headerReference w:type="default" r:id="rId6"/>
          <w:pgSz w:w="11906" w:h="16838"/>
          <w:pgMar w:top="1264" w:right="1417" w:bottom="1400" w:left="1417" w:header="400" w:footer="708" w:gutter="0"/>
          <w:cols w:space="708"/>
          <w:titlePg/>
          <w:docGrid w:linePitch="600" w:charSpace="32768"/>
        </w:sectPr>
      </w:pPr>
    </w:p>
    <w:p w:rsidR="009B2831" w:rsidRDefault="009B2831" w:rsidP="009B2831">
      <w:pPr>
        <w:widowControl/>
        <w:suppressAutoHyphens w:val="0"/>
        <w:spacing w:after="200"/>
        <w:ind w:left="283" w:right="283" w:firstLine="567"/>
        <w:jc w:val="both"/>
        <w:rPr>
          <w:b/>
          <w:color w:val="010000"/>
        </w:rPr>
      </w:pPr>
    </w:p>
    <w:p w:rsidR="00EE1A81" w:rsidRPr="009B2831" w:rsidRDefault="005B3C7F" w:rsidP="009B2831">
      <w:pPr>
        <w:widowControl/>
        <w:suppressAutoHyphens w:val="0"/>
        <w:spacing w:after="200"/>
        <w:ind w:left="283" w:right="283" w:firstLine="1"/>
        <w:jc w:val="center"/>
        <w:rPr>
          <w:color w:val="010000"/>
        </w:rPr>
      </w:pPr>
      <w:r w:rsidRPr="009B2831">
        <w:rPr>
          <w:b/>
          <w:color w:val="010000"/>
        </w:rPr>
        <w:t>İKİNCİ BÖLÜM</w:t>
      </w:r>
    </w:p>
    <w:p w:rsidR="00EE1A81" w:rsidRPr="009B2831" w:rsidRDefault="005B3C7F" w:rsidP="009B2831">
      <w:pPr>
        <w:widowControl/>
        <w:suppressAutoHyphens w:val="0"/>
        <w:spacing w:after="200"/>
        <w:ind w:left="283" w:right="283" w:firstLine="1"/>
        <w:jc w:val="center"/>
        <w:rPr>
          <w:color w:val="010000"/>
        </w:rPr>
      </w:pPr>
      <w:r w:rsidRPr="009B2831">
        <w:rPr>
          <w:b/>
          <w:color w:val="010000"/>
        </w:rPr>
        <w:t>KARAR</w:t>
      </w:r>
    </w:p>
    <w:p w:rsidR="009B2831" w:rsidRDefault="009B2831" w:rsidP="009B2831">
      <w:pPr>
        <w:pStyle w:val="edf1393440552765"/>
        <w:widowControl/>
        <w:suppressAutoHyphens w:val="0"/>
        <w:spacing w:after="200"/>
        <w:ind w:left="283" w:right="283" w:firstLine="567"/>
        <w:jc w:val="both"/>
        <w:rPr>
          <w:rFonts w:cs="Times New Roman"/>
          <w:b/>
          <w:color w:val="010000"/>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9B2831" w:rsidRPr="009B2831" w:rsidTr="009B2831">
        <w:tblPrEx>
          <w:tblCellMar>
            <w:top w:w="0" w:type="dxa"/>
            <w:bottom w:w="0" w:type="dxa"/>
          </w:tblCellMar>
        </w:tblPrEx>
        <w:trPr>
          <w:trHeight w:val="454"/>
        </w:trPr>
        <w:tc>
          <w:tcPr>
            <w:tcW w:w="2400" w:type="dxa"/>
          </w:tcPr>
          <w:p w:rsidR="009B2831" w:rsidRPr="009B2831" w:rsidRDefault="009B2831" w:rsidP="009B2831">
            <w:pPr>
              <w:pStyle w:val="edf1393440552765"/>
              <w:widowControl/>
              <w:suppressAutoHyphens w:val="0"/>
              <w:rPr>
                <w:rFonts w:cs="Times New Roman"/>
                <w:b/>
                <w:color w:val="010000"/>
              </w:rPr>
            </w:pPr>
            <w:r w:rsidRPr="009B2831">
              <w:rPr>
                <w:rFonts w:cs="Times New Roman"/>
                <w:b/>
                <w:color w:val="010000"/>
              </w:rPr>
              <w:t>Başkan</w:t>
            </w:r>
          </w:p>
        </w:tc>
        <w:tc>
          <w:tcPr>
            <w:tcW w:w="200" w:type="dxa"/>
          </w:tcPr>
          <w:p w:rsidR="009B2831" w:rsidRPr="009B2831" w:rsidRDefault="009B2831" w:rsidP="009B2831">
            <w:pPr>
              <w:pStyle w:val="edf1393440552765"/>
              <w:widowControl/>
              <w:suppressAutoHyphens w:val="0"/>
              <w:rPr>
                <w:rFonts w:cs="Times New Roman"/>
                <w:b/>
                <w:color w:val="010000"/>
              </w:rPr>
            </w:pPr>
            <w:r w:rsidRPr="009B2831">
              <w:rPr>
                <w:rFonts w:cs="Times New Roman"/>
                <w:b/>
                <w:color w:val="010000"/>
              </w:rPr>
              <w:t>:</w:t>
            </w:r>
          </w:p>
        </w:tc>
        <w:tc>
          <w:tcPr>
            <w:tcW w:w="5400" w:type="dxa"/>
          </w:tcPr>
          <w:p w:rsidR="009B2831" w:rsidRPr="009B2831" w:rsidRDefault="009B2831" w:rsidP="009B2831">
            <w:pPr>
              <w:pStyle w:val="edf1393440552765"/>
              <w:widowControl/>
              <w:suppressAutoHyphens w:val="0"/>
              <w:rPr>
                <w:rFonts w:cs="Times New Roman"/>
                <w:color w:val="010000"/>
              </w:rPr>
            </w:pPr>
            <w:r w:rsidRPr="009B2831">
              <w:rPr>
                <w:rFonts w:cs="Times New Roman"/>
                <w:color w:val="010000"/>
              </w:rPr>
              <w:t>Basri BAĞCI</w:t>
            </w:r>
          </w:p>
        </w:tc>
      </w:tr>
      <w:tr w:rsidR="009B2831" w:rsidRPr="009B2831" w:rsidTr="009B2831">
        <w:tblPrEx>
          <w:tblCellMar>
            <w:top w:w="0" w:type="dxa"/>
            <w:bottom w:w="0" w:type="dxa"/>
          </w:tblCellMar>
        </w:tblPrEx>
        <w:trPr>
          <w:trHeight w:val="454"/>
        </w:trPr>
        <w:tc>
          <w:tcPr>
            <w:tcW w:w="2400" w:type="dxa"/>
          </w:tcPr>
          <w:p w:rsidR="009B2831" w:rsidRPr="009B2831" w:rsidRDefault="009B2831" w:rsidP="009B2831">
            <w:pPr>
              <w:pStyle w:val="edf1393440552765"/>
              <w:widowControl/>
              <w:suppressAutoHyphens w:val="0"/>
              <w:rPr>
                <w:rFonts w:cs="Times New Roman"/>
                <w:b/>
                <w:color w:val="010000"/>
              </w:rPr>
            </w:pPr>
            <w:r w:rsidRPr="009B2831">
              <w:rPr>
                <w:rFonts w:cs="Times New Roman"/>
                <w:b/>
                <w:color w:val="010000"/>
              </w:rPr>
              <w:t>Üyeler</w:t>
            </w:r>
          </w:p>
        </w:tc>
        <w:tc>
          <w:tcPr>
            <w:tcW w:w="200" w:type="dxa"/>
          </w:tcPr>
          <w:p w:rsidR="009B2831" w:rsidRPr="009B2831" w:rsidRDefault="009B2831" w:rsidP="009B2831">
            <w:pPr>
              <w:pStyle w:val="edf1393440552765"/>
              <w:widowControl/>
              <w:suppressAutoHyphens w:val="0"/>
              <w:rPr>
                <w:rFonts w:cs="Times New Roman"/>
                <w:b/>
                <w:color w:val="010000"/>
              </w:rPr>
            </w:pPr>
            <w:r w:rsidRPr="009B2831">
              <w:rPr>
                <w:rFonts w:cs="Times New Roman"/>
                <w:b/>
                <w:color w:val="010000"/>
              </w:rPr>
              <w:t>:</w:t>
            </w:r>
          </w:p>
        </w:tc>
        <w:tc>
          <w:tcPr>
            <w:tcW w:w="5400" w:type="dxa"/>
          </w:tcPr>
          <w:p w:rsidR="009B2831" w:rsidRPr="009B2831" w:rsidRDefault="009B2831" w:rsidP="009B2831">
            <w:pPr>
              <w:pStyle w:val="edf1393440552765"/>
              <w:widowControl/>
              <w:suppressAutoHyphens w:val="0"/>
              <w:rPr>
                <w:rFonts w:cs="Times New Roman"/>
                <w:color w:val="010000"/>
              </w:rPr>
            </w:pPr>
            <w:r w:rsidRPr="009B2831">
              <w:rPr>
                <w:rFonts w:cs="Times New Roman"/>
                <w:color w:val="010000"/>
              </w:rPr>
              <w:t>Engin YILDIRIM</w:t>
            </w:r>
          </w:p>
        </w:tc>
      </w:tr>
      <w:tr w:rsidR="009B2831" w:rsidRPr="009B2831" w:rsidTr="009B2831">
        <w:tblPrEx>
          <w:tblCellMar>
            <w:top w:w="0" w:type="dxa"/>
            <w:bottom w:w="0" w:type="dxa"/>
          </w:tblCellMar>
        </w:tblPrEx>
        <w:trPr>
          <w:trHeight w:val="454"/>
        </w:trPr>
        <w:tc>
          <w:tcPr>
            <w:tcW w:w="2400" w:type="dxa"/>
          </w:tcPr>
          <w:p w:rsidR="009B2831" w:rsidRPr="009B2831" w:rsidRDefault="009B2831" w:rsidP="009B2831">
            <w:pPr>
              <w:pStyle w:val="edf1393440552765"/>
              <w:widowControl/>
              <w:suppressAutoHyphens w:val="0"/>
              <w:rPr>
                <w:rFonts w:cs="Times New Roman"/>
                <w:b/>
                <w:color w:val="010000"/>
              </w:rPr>
            </w:pPr>
          </w:p>
        </w:tc>
        <w:tc>
          <w:tcPr>
            <w:tcW w:w="200" w:type="dxa"/>
          </w:tcPr>
          <w:p w:rsidR="009B2831" w:rsidRPr="009B2831" w:rsidRDefault="009B2831" w:rsidP="009B2831">
            <w:pPr>
              <w:pStyle w:val="edf1393440552765"/>
              <w:widowControl/>
              <w:suppressAutoHyphens w:val="0"/>
              <w:rPr>
                <w:rFonts w:cs="Times New Roman"/>
                <w:b/>
                <w:color w:val="010000"/>
              </w:rPr>
            </w:pPr>
          </w:p>
        </w:tc>
        <w:tc>
          <w:tcPr>
            <w:tcW w:w="5400" w:type="dxa"/>
          </w:tcPr>
          <w:p w:rsidR="009B2831" w:rsidRPr="009B2831" w:rsidRDefault="009B2831" w:rsidP="009B2831">
            <w:pPr>
              <w:pStyle w:val="edf1393440552765"/>
              <w:widowControl/>
              <w:suppressAutoHyphens w:val="0"/>
              <w:rPr>
                <w:rFonts w:cs="Times New Roman"/>
                <w:color w:val="010000"/>
              </w:rPr>
            </w:pPr>
            <w:r w:rsidRPr="009B2831">
              <w:rPr>
                <w:rFonts w:cs="Times New Roman"/>
                <w:color w:val="010000"/>
              </w:rPr>
              <w:t>Kenan YAŞAR</w:t>
            </w:r>
          </w:p>
        </w:tc>
      </w:tr>
      <w:tr w:rsidR="009B2831" w:rsidRPr="009B2831" w:rsidTr="009B2831">
        <w:tblPrEx>
          <w:tblCellMar>
            <w:top w:w="0" w:type="dxa"/>
            <w:bottom w:w="0" w:type="dxa"/>
          </w:tblCellMar>
        </w:tblPrEx>
        <w:trPr>
          <w:trHeight w:val="454"/>
        </w:trPr>
        <w:tc>
          <w:tcPr>
            <w:tcW w:w="2400" w:type="dxa"/>
          </w:tcPr>
          <w:p w:rsidR="009B2831" w:rsidRPr="009B2831" w:rsidRDefault="009B2831" w:rsidP="009B2831">
            <w:pPr>
              <w:pStyle w:val="edf1393440552765"/>
              <w:widowControl/>
              <w:suppressAutoHyphens w:val="0"/>
              <w:rPr>
                <w:rFonts w:cs="Times New Roman"/>
                <w:b/>
                <w:color w:val="010000"/>
              </w:rPr>
            </w:pPr>
          </w:p>
        </w:tc>
        <w:tc>
          <w:tcPr>
            <w:tcW w:w="200" w:type="dxa"/>
          </w:tcPr>
          <w:p w:rsidR="009B2831" w:rsidRPr="009B2831" w:rsidRDefault="009B2831" w:rsidP="009B2831">
            <w:pPr>
              <w:pStyle w:val="edf1393440552765"/>
              <w:widowControl/>
              <w:suppressAutoHyphens w:val="0"/>
              <w:rPr>
                <w:rFonts w:cs="Times New Roman"/>
                <w:b/>
                <w:color w:val="010000"/>
              </w:rPr>
            </w:pPr>
          </w:p>
        </w:tc>
        <w:tc>
          <w:tcPr>
            <w:tcW w:w="5400" w:type="dxa"/>
          </w:tcPr>
          <w:p w:rsidR="009B2831" w:rsidRPr="009B2831" w:rsidRDefault="009B2831" w:rsidP="009B2831">
            <w:pPr>
              <w:pStyle w:val="edf1393440552765"/>
              <w:widowControl/>
              <w:suppressAutoHyphens w:val="0"/>
              <w:rPr>
                <w:rFonts w:cs="Times New Roman"/>
                <w:color w:val="010000"/>
              </w:rPr>
            </w:pPr>
            <w:r w:rsidRPr="009B2831">
              <w:rPr>
                <w:rFonts w:cs="Times New Roman"/>
                <w:color w:val="010000"/>
              </w:rPr>
              <w:t>Ömer ÇINAR</w:t>
            </w:r>
          </w:p>
        </w:tc>
      </w:tr>
      <w:tr w:rsidR="009B2831" w:rsidRPr="009B2831" w:rsidTr="009B2831">
        <w:tblPrEx>
          <w:tblCellMar>
            <w:top w:w="0" w:type="dxa"/>
            <w:bottom w:w="0" w:type="dxa"/>
          </w:tblCellMar>
        </w:tblPrEx>
        <w:trPr>
          <w:trHeight w:val="454"/>
        </w:trPr>
        <w:tc>
          <w:tcPr>
            <w:tcW w:w="2400" w:type="dxa"/>
          </w:tcPr>
          <w:p w:rsidR="009B2831" w:rsidRPr="009B2831" w:rsidRDefault="009B2831" w:rsidP="009B2831">
            <w:pPr>
              <w:pStyle w:val="edf1393440552765"/>
              <w:widowControl/>
              <w:suppressAutoHyphens w:val="0"/>
              <w:rPr>
                <w:rFonts w:cs="Times New Roman"/>
                <w:b/>
                <w:color w:val="010000"/>
              </w:rPr>
            </w:pPr>
          </w:p>
        </w:tc>
        <w:tc>
          <w:tcPr>
            <w:tcW w:w="200" w:type="dxa"/>
          </w:tcPr>
          <w:p w:rsidR="009B2831" w:rsidRPr="009B2831" w:rsidRDefault="009B2831" w:rsidP="009B2831">
            <w:pPr>
              <w:pStyle w:val="edf1393440552765"/>
              <w:widowControl/>
              <w:suppressAutoHyphens w:val="0"/>
              <w:rPr>
                <w:rFonts w:cs="Times New Roman"/>
                <w:b/>
                <w:color w:val="010000"/>
              </w:rPr>
            </w:pPr>
          </w:p>
        </w:tc>
        <w:tc>
          <w:tcPr>
            <w:tcW w:w="5400" w:type="dxa"/>
          </w:tcPr>
          <w:p w:rsidR="009B2831" w:rsidRPr="009B2831" w:rsidRDefault="009B2831" w:rsidP="009B2831">
            <w:pPr>
              <w:pStyle w:val="edf1393440552765"/>
              <w:widowControl/>
              <w:suppressAutoHyphens w:val="0"/>
              <w:rPr>
                <w:rFonts w:cs="Times New Roman"/>
                <w:color w:val="010000"/>
              </w:rPr>
            </w:pPr>
            <w:r w:rsidRPr="009B2831">
              <w:rPr>
                <w:rFonts w:cs="Times New Roman"/>
                <w:color w:val="010000"/>
              </w:rPr>
              <w:t>Metin KIRATLI</w:t>
            </w:r>
          </w:p>
        </w:tc>
      </w:tr>
      <w:tr w:rsidR="009B2831" w:rsidRPr="009B2831" w:rsidTr="009B2831">
        <w:tblPrEx>
          <w:tblCellMar>
            <w:top w:w="0" w:type="dxa"/>
            <w:bottom w:w="0" w:type="dxa"/>
          </w:tblCellMar>
        </w:tblPrEx>
        <w:trPr>
          <w:trHeight w:val="454"/>
        </w:trPr>
        <w:tc>
          <w:tcPr>
            <w:tcW w:w="2400" w:type="dxa"/>
          </w:tcPr>
          <w:p w:rsidR="009B2831" w:rsidRPr="009B2831" w:rsidRDefault="009B2831" w:rsidP="009B2831">
            <w:pPr>
              <w:pStyle w:val="edf1393440552765"/>
              <w:widowControl/>
              <w:suppressAutoHyphens w:val="0"/>
              <w:rPr>
                <w:rFonts w:cs="Times New Roman"/>
                <w:b/>
                <w:color w:val="010000"/>
              </w:rPr>
            </w:pPr>
            <w:r w:rsidRPr="009B2831">
              <w:rPr>
                <w:rFonts w:cs="Times New Roman"/>
                <w:b/>
                <w:color w:val="010000"/>
              </w:rPr>
              <w:t>Raportör</w:t>
            </w:r>
          </w:p>
        </w:tc>
        <w:tc>
          <w:tcPr>
            <w:tcW w:w="200" w:type="dxa"/>
          </w:tcPr>
          <w:p w:rsidR="009B2831" w:rsidRPr="009B2831" w:rsidRDefault="009B2831" w:rsidP="009B2831">
            <w:pPr>
              <w:pStyle w:val="edf1393440552765"/>
              <w:widowControl/>
              <w:suppressAutoHyphens w:val="0"/>
              <w:rPr>
                <w:rFonts w:cs="Times New Roman"/>
                <w:b/>
                <w:color w:val="010000"/>
              </w:rPr>
            </w:pPr>
            <w:r w:rsidRPr="009B2831">
              <w:rPr>
                <w:rFonts w:cs="Times New Roman"/>
                <w:b/>
                <w:color w:val="010000"/>
              </w:rPr>
              <w:t>:</w:t>
            </w:r>
          </w:p>
        </w:tc>
        <w:tc>
          <w:tcPr>
            <w:tcW w:w="5400" w:type="dxa"/>
          </w:tcPr>
          <w:p w:rsidR="009B2831" w:rsidRPr="009B2831" w:rsidRDefault="009B2831" w:rsidP="009B2831">
            <w:pPr>
              <w:pStyle w:val="edf1393440552765"/>
              <w:widowControl/>
              <w:suppressAutoHyphens w:val="0"/>
              <w:rPr>
                <w:rFonts w:cs="Times New Roman"/>
                <w:color w:val="010000"/>
              </w:rPr>
            </w:pPr>
            <w:r w:rsidRPr="009B2831">
              <w:rPr>
                <w:rFonts w:cs="Times New Roman"/>
                <w:color w:val="010000"/>
              </w:rPr>
              <w:t>İsmail Emrah PERDECİOĞLU</w:t>
            </w:r>
          </w:p>
        </w:tc>
      </w:tr>
      <w:tr w:rsidR="009B2831" w:rsidRPr="009B2831" w:rsidTr="009B2831">
        <w:tblPrEx>
          <w:tblCellMar>
            <w:top w:w="0" w:type="dxa"/>
            <w:bottom w:w="0" w:type="dxa"/>
          </w:tblCellMar>
        </w:tblPrEx>
        <w:trPr>
          <w:trHeight w:val="454"/>
        </w:trPr>
        <w:tc>
          <w:tcPr>
            <w:tcW w:w="2400" w:type="dxa"/>
          </w:tcPr>
          <w:p w:rsidR="009B2831" w:rsidRPr="009B2831" w:rsidRDefault="009B2831" w:rsidP="009B2831">
            <w:pPr>
              <w:pStyle w:val="edf1393440552765"/>
              <w:widowControl/>
              <w:suppressAutoHyphens w:val="0"/>
              <w:rPr>
                <w:rFonts w:cs="Times New Roman"/>
                <w:b/>
                <w:color w:val="010000"/>
              </w:rPr>
            </w:pPr>
            <w:r w:rsidRPr="009B2831">
              <w:rPr>
                <w:rFonts w:cs="Times New Roman"/>
                <w:b/>
                <w:color w:val="010000"/>
              </w:rPr>
              <w:t>Başvurucular</w:t>
            </w:r>
          </w:p>
        </w:tc>
        <w:tc>
          <w:tcPr>
            <w:tcW w:w="200" w:type="dxa"/>
          </w:tcPr>
          <w:p w:rsidR="009B2831" w:rsidRPr="009B2831" w:rsidRDefault="009B2831" w:rsidP="009B2831">
            <w:pPr>
              <w:pStyle w:val="edf1393440552765"/>
              <w:widowControl/>
              <w:suppressAutoHyphens w:val="0"/>
              <w:rPr>
                <w:rFonts w:cs="Times New Roman"/>
                <w:b/>
                <w:color w:val="010000"/>
              </w:rPr>
            </w:pPr>
            <w:r w:rsidRPr="009B2831">
              <w:rPr>
                <w:rFonts w:cs="Times New Roman"/>
                <w:b/>
                <w:color w:val="010000"/>
              </w:rPr>
              <w:t>:</w:t>
            </w:r>
          </w:p>
        </w:tc>
        <w:tc>
          <w:tcPr>
            <w:tcW w:w="5400" w:type="dxa"/>
          </w:tcPr>
          <w:p w:rsidR="009B2831" w:rsidRPr="009B2831" w:rsidRDefault="009B2831" w:rsidP="009B2831">
            <w:pPr>
              <w:pStyle w:val="edf1393440552765"/>
              <w:widowControl/>
              <w:suppressAutoHyphens w:val="0"/>
              <w:rPr>
                <w:rFonts w:cs="Times New Roman"/>
                <w:color w:val="010000"/>
              </w:rPr>
            </w:pPr>
            <w:r w:rsidRPr="009B2831">
              <w:rPr>
                <w:rFonts w:cs="Times New Roman"/>
                <w:color w:val="010000"/>
              </w:rPr>
              <w:t>Hilmi DİVOĞLU ve diğerleri [bkz. ekli listenin (C) sütunu]</w:t>
            </w:r>
          </w:p>
        </w:tc>
      </w:tr>
      <w:tr w:rsidR="009B2831" w:rsidRPr="009B2831" w:rsidTr="009B2831">
        <w:tblPrEx>
          <w:tblCellMar>
            <w:top w:w="0" w:type="dxa"/>
            <w:bottom w:w="0" w:type="dxa"/>
          </w:tblCellMar>
        </w:tblPrEx>
        <w:trPr>
          <w:trHeight w:val="454"/>
        </w:trPr>
        <w:tc>
          <w:tcPr>
            <w:tcW w:w="2400" w:type="dxa"/>
          </w:tcPr>
          <w:p w:rsidR="009B2831" w:rsidRPr="009B2831" w:rsidRDefault="009B2831" w:rsidP="009B2831">
            <w:pPr>
              <w:pStyle w:val="edf1393440552765"/>
              <w:widowControl/>
              <w:suppressAutoHyphens w:val="0"/>
              <w:rPr>
                <w:rFonts w:cs="Times New Roman"/>
                <w:b/>
                <w:color w:val="010000"/>
              </w:rPr>
            </w:pPr>
            <w:r w:rsidRPr="009B2831">
              <w:rPr>
                <w:rFonts w:cs="Times New Roman"/>
                <w:b/>
                <w:color w:val="010000"/>
              </w:rPr>
              <w:t>Vekili</w:t>
            </w:r>
          </w:p>
        </w:tc>
        <w:tc>
          <w:tcPr>
            <w:tcW w:w="200" w:type="dxa"/>
          </w:tcPr>
          <w:p w:rsidR="009B2831" w:rsidRPr="009B2831" w:rsidRDefault="009B2831" w:rsidP="009B2831">
            <w:pPr>
              <w:pStyle w:val="edf1393440552765"/>
              <w:widowControl/>
              <w:suppressAutoHyphens w:val="0"/>
              <w:rPr>
                <w:rFonts w:cs="Times New Roman"/>
                <w:b/>
                <w:color w:val="010000"/>
              </w:rPr>
            </w:pPr>
            <w:r w:rsidRPr="009B2831">
              <w:rPr>
                <w:rFonts w:cs="Times New Roman"/>
                <w:b/>
                <w:color w:val="010000"/>
              </w:rPr>
              <w:t>:</w:t>
            </w:r>
          </w:p>
        </w:tc>
        <w:tc>
          <w:tcPr>
            <w:tcW w:w="5400" w:type="dxa"/>
          </w:tcPr>
          <w:p w:rsidR="009B2831" w:rsidRPr="009B2831" w:rsidRDefault="009B2831" w:rsidP="009B2831">
            <w:pPr>
              <w:pStyle w:val="edf1393440552765"/>
              <w:widowControl/>
              <w:suppressAutoHyphens w:val="0"/>
              <w:rPr>
                <w:rFonts w:cs="Times New Roman"/>
                <w:color w:val="010000"/>
              </w:rPr>
            </w:pPr>
            <w:r w:rsidRPr="009B2831">
              <w:rPr>
                <w:rFonts w:cs="Times New Roman"/>
                <w:color w:val="010000"/>
              </w:rPr>
              <w:t>Av. Burak ÖZMEN</w:t>
            </w:r>
          </w:p>
        </w:tc>
      </w:tr>
    </w:tbl>
    <w:p w:rsidR="009B2831" w:rsidRDefault="009B2831" w:rsidP="009B2831">
      <w:pPr>
        <w:pStyle w:val="edf1393440552765"/>
        <w:widowControl/>
        <w:suppressAutoHyphens w:val="0"/>
        <w:spacing w:after="200"/>
        <w:ind w:left="283" w:right="283" w:firstLine="567"/>
        <w:jc w:val="both"/>
        <w:rPr>
          <w:rFonts w:cs="Times New Roman"/>
          <w:b/>
          <w:color w:val="010000"/>
        </w:rPr>
      </w:pPr>
    </w:p>
    <w:p w:rsidR="009B2831" w:rsidRDefault="009B2831" w:rsidP="009B2831">
      <w:pPr>
        <w:pStyle w:val="edf1393440552765"/>
        <w:widowControl/>
        <w:suppressAutoHyphens w:val="0"/>
        <w:spacing w:after="200"/>
        <w:ind w:left="283" w:right="283" w:firstLine="567"/>
        <w:jc w:val="both"/>
        <w:rPr>
          <w:rFonts w:cs="Times New Roman"/>
          <w:b/>
          <w:color w:val="010000"/>
        </w:rPr>
      </w:pPr>
      <w:r>
        <w:rPr>
          <w:rFonts w:cs="Times New Roman"/>
          <w:b/>
          <w:color w:val="010000"/>
        </w:rPr>
        <w:t>I. BAŞVURUNUN ÖZETİ</w:t>
      </w:r>
    </w:p>
    <w:p w:rsidR="00EE1A81" w:rsidRPr="009B2831" w:rsidRDefault="005B3C7F" w:rsidP="009B2831">
      <w:pPr>
        <w:pStyle w:val="edf1393440552765"/>
        <w:widowControl/>
        <w:suppressAutoHyphens w:val="0"/>
        <w:spacing w:after="200"/>
        <w:ind w:left="283" w:right="283" w:firstLine="567"/>
        <w:jc w:val="both"/>
        <w:rPr>
          <w:rFonts w:cs="Times New Roman"/>
          <w:color w:val="010000"/>
        </w:rPr>
      </w:pPr>
      <w:r w:rsidRPr="009B2831">
        <w:rPr>
          <w:rFonts w:cs="Times New Roman"/>
          <w:color w:val="010000"/>
        </w:rPr>
        <w:t>1. Başvuru, kamulaştırma bedelinin tespiti davasında hükmedilen bedelin enflasyon karşısında değer kaybına uğratılması ve yargılamanın uzun sürmesi nedeniyle mülkiyet hakkı ile adil yargılanma hakkının ihlal edildiği iddialarına ilişkindir. Başvurular, süresi içinde yapılmıştır. Başvuruların kabul edilebilirlik incelemesinin Bölüm tarafından yapılmasına karar verilmiştir.</w:t>
      </w:r>
    </w:p>
    <w:p w:rsidR="00EE1A81" w:rsidRPr="009B2831" w:rsidRDefault="005B3C7F" w:rsidP="009B2831">
      <w:pPr>
        <w:pStyle w:val="edf1393440552765"/>
        <w:widowControl/>
        <w:suppressAutoHyphens w:val="0"/>
        <w:spacing w:after="200"/>
        <w:ind w:left="283" w:right="283" w:firstLine="567"/>
        <w:jc w:val="both"/>
        <w:rPr>
          <w:rFonts w:cs="Times New Roman"/>
          <w:color w:val="010000"/>
        </w:rPr>
      </w:pPr>
      <w:r w:rsidRPr="009B2831">
        <w:rPr>
          <w:rFonts w:cs="Times New Roman"/>
          <w:color w:val="010000"/>
        </w:rPr>
        <w:t xml:space="preserve">2. Aralarında konu bakımından hukuki irtibat bulunması nedeniyle 2022/68112 ve 2022/68264 numaralı bireysel başvuru dosyalarının 2022/68091 numaralı bireysel başvuru dosyası ile birleştirilmesine ve incelemenin 2022/68091 numaralı bireysel başvuru dosyası üzerinden yürütülmesine Komisyonca karar verilmiştir. </w:t>
      </w:r>
    </w:p>
    <w:p w:rsidR="00EE1A81" w:rsidRPr="009B2831" w:rsidRDefault="005B3C7F" w:rsidP="009B2831">
      <w:pPr>
        <w:pStyle w:val="edf1393440552765"/>
        <w:widowControl/>
        <w:suppressAutoHyphens w:val="0"/>
        <w:spacing w:after="200"/>
        <w:ind w:left="283" w:right="283" w:firstLine="567"/>
        <w:jc w:val="both"/>
        <w:rPr>
          <w:rFonts w:cs="Times New Roman"/>
          <w:color w:val="010000"/>
        </w:rPr>
      </w:pPr>
      <w:r w:rsidRPr="009B2831">
        <w:rPr>
          <w:rFonts w:cs="Times New Roman"/>
          <w:b/>
          <w:color w:val="010000"/>
        </w:rPr>
        <w:t>II.</w:t>
      </w:r>
      <w:r w:rsidR="009B2831" w:rsidRPr="009B2831">
        <w:rPr>
          <w:rFonts w:cs="Times New Roman"/>
          <w:color w:val="010000"/>
        </w:rPr>
        <w:t xml:space="preserve"> </w:t>
      </w:r>
      <w:r w:rsidRPr="009B2831">
        <w:rPr>
          <w:rFonts w:cs="Times New Roman"/>
          <w:b/>
          <w:color w:val="010000"/>
        </w:rPr>
        <w:t>DEĞERLENDİRME</w:t>
      </w:r>
    </w:p>
    <w:p w:rsidR="00EE1A81" w:rsidRPr="009B2831" w:rsidRDefault="005B3C7F" w:rsidP="009B2831">
      <w:pPr>
        <w:pStyle w:val="edf1393440552765"/>
        <w:widowControl/>
        <w:suppressAutoHyphens w:val="0"/>
        <w:spacing w:after="200"/>
        <w:ind w:left="283" w:right="283" w:firstLine="567"/>
        <w:jc w:val="both"/>
        <w:rPr>
          <w:rFonts w:cs="Times New Roman"/>
          <w:color w:val="010000"/>
        </w:rPr>
      </w:pPr>
      <w:r w:rsidRPr="009B2831">
        <w:rPr>
          <w:rFonts w:cs="Times New Roman"/>
          <w:b/>
          <w:color w:val="010000"/>
        </w:rPr>
        <w:t>A.</w:t>
      </w:r>
      <w:r w:rsidR="009B2831" w:rsidRPr="009B2831">
        <w:rPr>
          <w:rFonts w:cs="Times New Roman"/>
          <w:color w:val="010000"/>
        </w:rPr>
        <w:t xml:space="preserve"> </w:t>
      </w:r>
      <w:r w:rsidRPr="009B2831">
        <w:rPr>
          <w:rFonts w:cs="Times New Roman"/>
          <w:b/>
          <w:color w:val="010000"/>
        </w:rPr>
        <w:t>Kamulaştırma Bedellerinin Değer Kaybına Uğratılması Yönünden Mülkiyet Hakkının İhlal Edildiğine İlişkin İddia</w:t>
      </w:r>
    </w:p>
    <w:p w:rsidR="00EE1A81" w:rsidRPr="009B2831" w:rsidRDefault="005B3C7F" w:rsidP="009B2831">
      <w:pPr>
        <w:pStyle w:val="edf1393440552765"/>
        <w:widowControl/>
        <w:suppressAutoHyphens w:val="0"/>
        <w:spacing w:after="200"/>
        <w:ind w:left="283" w:right="283" w:firstLine="567"/>
        <w:jc w:val="both"/>
        <w:rPr>
          <w:rFonts w:cs="Times New Roman"/>
          <w:color w:val="010000"/>
        </w:rPr>
      </w:pPr>
      <w:r w:rsidRPr="009B2831">
        <w:rPr>
          <w:rFonts w:cs="Times New Roman"/>
          <w:color w:val="010000"/>
        </w:rPr>
        <w:t>3.</w:t>
      </w:r>
      <w:r w:rsidRPr="009B2831">
        <w:rPr>
          <w:rFonts w:cs="Times New Roman"/>
          <w:b/>
          <w:color w:val="010000"/>
        </w:rPr>
        <w:t xml:space="preserve"> </w:t>
      </w:r>
      <w:r w:rsidRPr="009B2831">
        <w:rPr>
          <w:rFonts w:cs="Times New Roman"/>
          <w:color w:val="010000"/>
        </w:rPr>
        <w:t xml:space="preserve">Anayasa Mahkemesi, olay ve olguları somut başvuru ile benzer nitelikte olan </w:t>
      </w:r>
      <w:r w:rsidRPr="009B2831">
        <w:rPr>
          <w:rFonts w:cs="Times New Roman"/>
          <w:i/>
          <w:iCs/>
          <w:color w:val="010000"/>
        </w:rPr>
        <w:t>Ali Şimşek ve diğerleri</w:t>
      </w:r>
      <w:r w:rsidRPr="009B2831">
        <w:rPr>
          <w:rFonts w:cs="Times New Roman"/>
          <w:color w:val="010000"/>
        </w:rPr>
        <w:t xml:space="preserve"> (B. No: 2014/2073, 6/7/2017), </w:t>
      </w:r>
      <w:r w:rsidRPr="009B2831">
        <w:rPr>
          <w:rFonts w:cs="Times New Roman"/>
          <w:i/>
          <w:iCs/>
          <w:color w:val="010000"/>
        </w:rPr>
        <w:t>Mehmet Akdoğan ve diğerleri</w:t>
      </w:r>
      <w:r w:rsidRPr="009B2831">
        <w:rPr>
          <w:rFonts w:cs="Times New Roman"/>
          <w:color w:val="010000"/>
        </w:rPr>
        <w:t xml:space="preserve"> (B. No: 2013/817, 19/12/2013), </w:t>
      </w:r>
      <w:r w:rsidRPr="009B2831">
        <w:rPr>
          <w:rFonts w:cs="Times New Roman"/>
          <w:i/>
          <w:iCs/>
          <w:color w:val="010000"/>
        </w:rPr>
        <w:t>Kadir Çakar</w:t>
      </w:r>
      <w:r w:rsidRPr="009B2831">
        <w:rPr>
          <w:rFonts w:cs="Times New Roman"/>
          <w:color w:val="010000"/>
        </w:rPr>
        <w:t xml:space="preserve"> (B. No: 2015/18908, 21/3/2018), </w:t>
      </w:r>
      <w:r w:rsidRPr="009B2831">
        <w:rPr>
          <w:rFonts w:cs="Times New Roman"/>
          <w:i/>
          <w:iCs/>
          <w:color w:val="010000"/>
        </w:rPr>
        <w:t>Hanım Çeyiz ve Mehmet Gündüz</w:t>
      </w:r>
      <w:r w:rsidRPr="009B2831">
        <w:rPr>
          <w:rFonts w:cs="Times New Roman"/>
          <w:color w:val="010000"/>
        </w:rPr>
        <w:t xml:space="preserve"> (B. No: 2015/19289, 17/7/2018), </w:t>
      </w:r>
      <w:r w:rsidRPr="009B2831">
        <w:rPr>
          <w:rFonts w:cs="Times New Roman"/>
          <w:i/>
          <w:iCs/>
          <w:color w:val="010000"/>
        </w:rPr>
        <w:t>Türkan Poyraz</w:t>
      </w:r>
      <w:r w:rsidRPr="009B2831">
        <w:rPr>
          <w:rFonts w:cs="Times New Roman"/>
          <w:color w:val="010000"/>
        </w:rPr>
        <w:t xml:space="preserve"> (B. No: 2015/15388, 13/9/2018) ve </w:t>
      </w:r>
      <w:r w:rsidRPr="009B2831">
        <w:rPr>
          <w:rFonts w:cs="Times New Roman"/>
          <w:i/>
          <w:iCs/>
          <w:color w:val="010000"/>
        </w:rPr>
        <w:t>Emine Dilek Onaran ve diğerleri</w:t>
      </w:r>
      <w:r w:rsidRPr="009B2831">
        <w:rPr>
          <w:rFonts w:cs="Times New Roman"/>
          <w:color w:val="010000"/>
        </w:rPr>
        <w:t xml:space="preserve"> (B. No: 2017/19987, 12/2/2020) kararlarında kamulaştırma ve kamulaştırmasız el atma bedellerinin enflasyon karşısında değer kaybına uğratılarak ödenmesine ilişkin şikâyetleri inceleyerek uygulanacak anayasal ilkeleri belirlemiştir. Bu çerçevede kamulaştırma ve kamulaştırmasız el atma bedellerinin enflasyon karşısında önemli ölçüde değer kaybına uğratılarak ödenmesinin başvuruculara şahsi olarak aşırı ve olağan dışı bir külfet yüklediğini belirterek mülkiyet hakkının ihlal edildiği sonucuna ulaşmıştır. Somut başvuruda da anılan kararlarda açıklanan ilkelerden ve ulaşılan sonuçtan ayrılmayı gerektiren bir durum </w:t>
      </w:r>
      <w:r w:rsidRPr="009B2831">
        <w:rPr>
          <w:rFonts w:cs="Times New Roman"/>
          <w:color w:val="010000"/>
        </w:rPr>
        <w:lastRenderedPageBreak/>
        <w:t>bulunmamaktadır. Açıklanan gerekçelerle Anayasa’nın 35. maddesinde güvence altına alınan mülkiyet hakkının ihlal edildiğine karar verilmesi gerekir.</w:t>
      </w:r>
    </w:p>
    <w:p w:rsidR="00EE1A81" w:rsidRPr="009B2831" w:rsidRDefault="005B3C7F" w:rsidP="009B2831">
      <w:pPr>
        <w:pStyle w:val="edf1393440552765"/>
        <w:widowControl/>
        <w:suppressAutoHyphens w:val="0"/>
        <w:spacing w:after="200"/>
        <w:ind w:left="283" w:right="283" w:firstLine="567"/>
        <w:jc w:val="both"/>
        <w:rPr>
          <w:rFonts w:cs="Times New Roman"/>
          <w:color w:val="010000"/>
        </w:rPr>
      </w:pPr>
      <w:r w:rsidRPr="009B2831">
        <w:rPr>
          <w:rFonts w:cs="Times New Roman"/>
          <w:b/>
          <w:color w:val="010000"/>
        </w:rPr>
        <w:t>B. Makul Sürede Yargılanma Hakkının İhlal Edildiğine İlişkin İddia</w:t>
      </w:r>
    </w:p>
    <w:p w:rsidR="00EE1A81" w:rsidRPr="009B2831" w:rsidRDefault="005B3C7F" w:rsidP="009B2831">
      <w:pPr>
        <w:widowControl/>
        <w:suppressAutoHyphens w:val="0"/>
        <w:spacing w:after="200"/>
        <w:ind w:left="283" w:right="283" w:firstLine="567"/>
        <w:jc w:val="both"/>
        <w:rPr>
          <w:color w:val="010000"/>
        </w:rPr>
      </w:pPr>
      <w:r w:rsidRPr="009B2831">
        <w:rPr>
          <w:color w:val="010000"/>
        </w:rPr>
        <w:t xml:space="preserve">4. Anayasa Mahkemesi, olay ve olguları somut başvuru ile benzer nitelikte olan </w:t>
      </w:r>
      <w:r w:rsidRPr="009B2831">
        <w:rPr>
          <w:i/>
          <w:iCs/>
          <w:color w:val="010000"/>
        </w:rPr>
        <w:t xml:space="preserve">Veysi </w:t>
      </w:r>
      <w:proofErr w:type="spellStart"/>
      <w:r w:rsidRPr="009B2831">
        <w:rPr>
          <w:i/>
          <w:iCs/>
          <w:color w:val="010000"/>
        </w:rPr>
        <w:t>Ado</w:t>
      </w:r>
      <w:proofErr w:type="spellEnd"/>
      <w:r w:rsidRPr="009B2831">
        <w:rPr>
          <w:color w:val="010000"/>
        </w:rPr>
        <w:t xml:space="preserve"> ([GK], B. No: 2022/100837, 27/4/2023) kararında uygulanacak anayasal ilkeleri belirlemiştir. Bu çerçevede Anayasa Mahkemesi 9/1/2013 tarihli ve 6384 sayılı Avrupa İnsan Hakları Mahkemesine Yapılmış Bazı Başvuruların Tazminat Ödenmek Suretiyle Çözümüne Dair Kanun'un geçici 2. maddesinde 28/3/2023 tarihli ve 7445 sayılı Kanun'un 40. maddesi ile yapılan değişikliğe göre 9/3/2023 tarihi (bu tarih dâhil) itibarıyla derdest olan yargılamaların makul sürede sonuçlandırılmadığı iddialarıyla yapılan başvurulara ilişkin olarak Tazminat Komisyonuna başvuru yolu tüketilmeden yapılan başvurunun incelenmesinin bireysel başvurunun ikincil niteliği ile bağdaşmayacağı neticesine varmıştır. Somut başvuruda, anılan kararda açıklanan ilkelerden ve ulaşılan sonuçtan ayrılmayı gerektiren bir durum bulunmamaktadır. Dolayısıyla makul sürede yargılanma hakkının ihlal edildiği iddiasına ilişkin olarak başvurunun bu kısmının diğer kabul edilebilirlik şartları yönünden incelenmeksizin </w:t>
      </w:r>
      <w:r w:rsidRPr="009B2831">
        <w:rPr>
          <w:i/>
          <w:iCs/>
          <w:color w:val="010000"/>
        </w:rPr>
        <w:t xml:space="preserve">başvuru yollarının tüketilmemesi </w:t>
      </w:r>
      <w:r w:rsidRPr="009B2831">
        <w:rPr>
          <w:color w:val="010000"/>
        </w:rPr>
        <w:t>nedeniyle kabul edilemez olduğuna karar verilmesi gerekir.</w:t>
      </w:r>
      <w:r w:rsidR="009B2831" w:rsidRPr="009B2831">
        <w:rPr>
          <w:color w:val="010000"/>
        </w:rPr>
        <w:t xml:space="preserve"> </w:t>
      </w:r>
    </w:p>
    <w:p w:rsidR="00EE1A81" w:rsidRPr="009B2831" w:rsidRDefault="005B3C7F" w:rsidP="009B2831">
      <w:pPr>
        <w:widowControl/>
        <w:suppressAutoHyphens w:val="0"/>
        <w:spacing w:after="200"/>
        <w:ind w:left="283" w:right="283" w:firstLine="567"/>
        <w:jc w:val="both"/>
        <w:rPr>
          <w:color w:val="010000"/>
        </w:rPr>
      </w:pPr>
      <w:r w:rsidRPr="009B2831">
        <w:rPr>
          <w:b/>
          <w:color w:val="010000"/>
        </w:rPr>
        <w:t>III.</w:t>
      </w:r>
      <w:r w:rsidR="009B2831" w:rsidRPr="009B2831">
        <w:rPr>
          <w:color w:val="010000"/>
        </w:rPr>
        <w:t xml:space="preserve"> </w:t>
      </w:r>
      <w:r w:rsidRPr="009B2831">
        <w:rPr>
          <w:b/>
          <w:color w:val="010000"/>
        </w:rPr>
        <w:t>GİDERİM</w:t>
      </w:r>
    </w:p>
    <w:p w:rsidR="00EE1A81" w:rsidRPr="009B2831" w:rsidRDefault="005B3C7F" w:rsidP="009B2831">
      <w:pPr>
        <w:widowControl/>
        <w:suppressAutoHyphens w:val="0"/>
        <w:spacing w:after="200"/>
        <w:ind w:left="283" w:right="283" w:firstLine="567"/>
        <w:jc w:val="both"/>
        <w:rPr>
          <w:color w:val="010000"/>
        </w:rPr>
      </w:pPr>
      <w:r w:rsidRPr="009B2831">
        <w:rPr>
          <w:color w:val="010000"/>
        </w:rPr>
        <w:t>5.</w:t>
      </w:r>
      <w:r w:rsidR="009B2831" w:rsidRPr="009B2831">
        <w:rPr>
          <w:color w:val="010000"/>
        </w:rPr>
        <w:t xml:space="preserve"> </w:t>
      </w:r>
      <w:r w:rsidRPr="009B2831">
        <w:rPr>
          <w:color w:val="010000"/>
        </w:rPr>
        <w:t>Başvurucular, maddi ve manevi tazminat talebinde bulunmuştur.</w:t>
      </w:r>
    </w:p>
    <w:p w:rsidR="009B2831" w:rsidRDefault="009B2831" w:rsidP="009B2831">
      <w:pPr>
        <w:widowControl/>
        <w:suppressAutoHyphens w:val="0"/>
        <w:spacing w:after="200"/>
        <w:ind w:left="283" w:right="283" w:firstLine="567"/>
        <w:jc w:val="both"/>
        <w:rPr>
          <w:color w:val="010000"/>
        </w:rPr>
      </w:pPr>
      <w:r>
        <w:rPr>
          <w:color w:val="010000"/>
        </w:rPr>
        <w:t xml:space="preserve">6. Kamulaştırma bedelinin değer kaybetmiş olması nedeniyle tespit edilen mülkiyet hakkı ihlalinin sonuçlarının ortadan kaldırılması için yeniden yargılama yapılmasında hukuki yarar ve zorunluluk bulunmaktadır. Anayasa'nın 148. ve 153. maddeleri ile 30/3/2011 tarihli ve 6216 sayılı Anayasa Mahkemesinin Kuruluşu ve Yargılama Usulleri Hakkında Kanun'un 50. ve 66. maddeleri uyarınca ihlal kararının gönderildiği yargı mercilerince yapılması gereken iş, yeniden yargılama işlemlerini başlatıp Anayasa Mahkemesinin ihlal kararında belirtilen ilkelere ve gerekçelere uygun biçimde yürütülecek yargılama sonunda hak ihlalinin nedenlerini gidererek yeni bir karar vermektir (yeniden yargılama konusunda bkz. Mehmet Doğan [GK], B. No: 2014/8875, 7/6/2018, §§ 54-60; </w:t>
      </w:r>
      <w:proofErr w:type="spellStart"/>
      <w:r>
        <w:rPr>
          <w:color w:val="010000"/>
        </w:rPr>
        <w:t>Aligül</w:t>
      </w:r>
      <w:proofErr w:type="spellEnd"/>
      <w:r>
        <w:rPr>
          <w:color w:val="010000"/>
        </w:rPr>
        <w:t xml:space="preserve"> Alkaya ve diğerleri (2), B. No: 2016/12506, 7/11/2019, §§ 53-60, 66; Kadri Enis Berberoğlu (3) [GK], B. No: 2020/32949, 21/1/2021, §§ 93-100). Öte yandan ihlalin niteliğine göre yeniden yargılamanın yeterli bir giderim sağlayacağı anlaşıldığından başvurucuların tazminat talepleri kabul edilmemiştir. </w:t>
      </w:r>
    </w:p>
    <w:p w:rsidR="00EE1A81" w:rsidRPr="009B2831" w:rsidRDefault="005B3C7F" w:rsidP="009B2831">
      <w:pPr>
        <w:widowControl/>
        <w:suppressAutoHyphens w:val="0"/>
        <w:spacing w:after="200"/>
        <w:ind w:left="283" w:right="283" w:firstLine="567"/>
        <w:jc w:val="both"/>
        <w:rPr>
          <w:color w:val="010000"/>
        </w:rPr>
      </w:pPr>
      <w:r w:rsidRPr="009B2831">
        <w:rPr>
          <w:b/>
          <w:color w:val="010000"/>
        </w:rPr>
        <w:t>IV.</w:t>
      </w:r>
      <w:r w:rsidR="009B2831" w:rsidRPr="009B2831">
        <w:rPr>
          <w:color w:val="010000"/>
        </w:rPr>
        <w:t xml:space="preserve"> </w:t>
      </w:r>
      <w:r w:rsidRPr="009B2831">
        <w:rPr>
          <w:b/>
          <w:color w:val="010000"/>
        </w:rPr>
        <w:t>HÜKÜM</w:t>
      </w:r>
    </w:p>
    <w:p w:rsidR="00EE1A81" w:rsidRPr="009B2831" w:rsidRDefault="005B3C7F" w:rsidP="009B2831">
      <w:pPr>
        <w:pStyle w:val="edf1450279197849"/>
        <w:widowControl/>
        <w:suppressAutoHyphens w:val="0"/>
        <w:spacing w:after="200"/>
        <w:ind w:left="283" w:right="283" w:firstLine="567"/>
        <w:jc w:val="both"/>
        <w:rPr>
          <w:rFonts w:cs="Times New Roman"/>
          <w:color w:val="010000"/>
        </w:rPr>
      </w:pPr>
      <w:r w:rsidRPr="009B2831">
        <w:rPr>
          <w:rFonts w:cs="Times New Roman"/>
          <w:color w:val="010000"/>
        </w:rPr>
        <w:t>Açıklanan gerekçelerle;</w:t>
      </w:r>
    </w:p>
    <w:p w:rsidR="00EE1A81" w:rsidRPr="009B2831" w:rsidRDefault="005B3C7F" w:rsidP="009B2831">
      <w:pPr>
        <w:widowControl/>
        <w:suppressAutoHyphens w:val="0"/>
        <w:spacing w:after="200"/>
        <w:ind w:left="283" w:right="283" w:firstLine="567"/>
        <w:jc w:val="both"/>
        <w:rPr>
          <w:color w:val="010000"/>
        </w:rPr>
      </w:pPr>
      <w:r w:rsidRPr="009B2831">
        <w:rPr>
          <w:color w:val="010000"/>
        </w:rPr>
        <w:t>A. 1. Kamulaştırma bedelinin değer kaybına uğratılması nedeniyle mülkiyet hakkının ihlal edildiğine ilişkin iddianın KABUL EDİLEBİLİR OLDUĞUNA,</w:t>
      </w:r>
    </w:p>
    <w:p w:rsidR="00EE1A81" w:rsidRPr="009B2831" w:rsidRDefault="005B3C7F" w:rsidP="009B2831">
      <w:pPr>
        <w:pStyle w:val="edf1393440552765"/>
        <w:widowControl/>
        <w:suppressAutoHyphens w:val="0"/>
        <w:spacing w:after="200"/>
        <w:ind w:left="283" w:right="283" w:firstLine="850"/>
        <w:jc w:val="both"/>
        <w:rPr>
          <w:rFonts w:cs="Times New Roman"/>
          <w:color w:val="010000"/>
        </w:rPr>
      </w:pPr>
      <w:r w:rsidRPr="009B2831">
        <w:rPr>
          <w:rFonts w:cs="Times New Roman"/>
          <w:color w:val="010000"/>
        </w:rPr>
        <w:t>2. Maku</w:t>
      </w:r>
      <w:bookmarkStart w:id="0" w:name="_GoBack"/>
      <w:bookmarkEnd w:id="0"/>
      <w:r w:rsidRPr="009B2831">
        <w:rPr>
          <w:rFonts w:cs="Times New Roman"/>
          <w:color w:val="010000"/>
        </w:rPr>
        <w:t xml:space="preserve">l sürede yargılanma hakkının ihlal edildiğine ilişkin iddianın </w:t>
      </w:r>
      <w:r w:rsidRPr="009B2831">
        <w:rPr>
          <w:rFonts w:cs="Times New Roman"/>
          <w:i/>
          <w:iCs/>
          <w:color w:val="010000"/>
        </w:rPr>
        <w:t>başvuru yollarının tüketilmemesi</w:t>
      </w:r>
      <w:r w:rsidRPr="009B2831">
        <w:rPr>
          <w:rFonts w:cs="Times New Roman"/>
          <w:color w:val="010000"/>
        </w:rPr>
        <w:t xml:space="preserve"> nedeniyle KABUL EDİLEMEZ OLDUĞUNA,</w:t>
      </w:r>
    </w:p>
    <w:p w:rsidR="00EE1A81" w:rsidRPr="009B2831" w:rsidRDefault="005B3C7F" w:rsidP="009B2831">
      <w:pPr>
        <w:pStyle w:val="edf1393440552765"/>
        <w:widowControl/>
        <w:suppressAutoHyphens w:val="0"/>
        <w:spacing w:after="200"/>
        <w:ind w:left="283" w:right="283" w:firstLine="567"/>
        <w:jc w:val="both"/>
        <w:rPr>
          <w:rFonts w:cs="Times New Roman"/>
          <w:color w:val="010000"/>
        </w:rPr>
      </w:pPr>
      <w:r w:rsidRPr="009B2831">
        <w:rPr>
          <w:rFonts w:cs="Times New Roman"/>
          <w:color w:val="010000"/>
        </w:rPr>
        <w:t>B. Kamulaştırma bedelinin değer kaybına uğratılması nedeniyle Anayasa'nın 35. maddesinde güvence altına alınan mülkiyet hakkının İHLAL EDİLDİĞİNE,</w:t>
      </w:r>
    </w:p>
    <w:p w:rsidR="00EE1A81" w:rsidRPr="009B2831" w:rsidRDefault="005B3C7F" w:rsidP="009B2831">
      <w:pPr>
        <w:pStyle w:val="edf1393440552765"/>
        <w:widowControl/>
        <w:suppressAutoHyphens w:val="0"/>
        <w:spacing w:after="200"/>
        <w:ind w:left="283" w:right="283" w:firstLine="567"/>
        <w:jc w:val="both"/>
        <w:rPr>
          <w:rFonts w:cs="Times New Roman"/>
          <w:color w:val="010000"/>
        </w:rPr>
      </w:pPr>
      <w:r w:rsidRPr="009B2831">
        <w:rPr>
          <w:rFonts w:cs="Times New Roman"/>
          <w:color w:val="010000"/>
        </w:rPr>
        <w:t xml:space="preserve">C. Kararın bir örneğinin kamulaştırma bedelinin değer kaybına uğratılması nedeniyle mülkiyet hakkının ihlalinin sonuçlarının ortadan kaldırılması için yeniden </w:t>
      </w:r>
      <w:r w:rsidRPr="009B2831">
        <w:rPr>
          <w:rFonts w:cs="Times New Roman"/>
          <w:color w:val="010000"/>
        </w:rPr>
        <w:lastRenderedPageBreak/>
        <w:t>yargılama yapılmak üzere ekli listenin(D) sütununda yer verilen mercilere GÖNDERİLMESİNE,</w:t>
      </w:r>
    </w:p>
    <w:p w:rsidR="009B2831" w:rsidRDefault="009B2831" w:rsidP="009B2831">
      <w:pPr>
        <w:pStyle w:val="edf1393440552765"/>
        <w:widowControl/>
        <w:suppressAutoHyphens w:val="0"/>
        <w:spacing w:after="200"/>
        <w:ind w:left="283" w:right="283" w:firstLine="567"/>
        <w:jc w:val="both"/>
        <w:rPr>
          <w:rFonts w:cs="Times New Roman"/>
          <w:color w:val="010000"/>
        </w:rPr>
      </w:pPr>
      <w:r>
        <w:rPr>
          <w:rFonts w:cs="Times New Roman"/>
          <w:color w:val="010000"/>
        </w:rPr>
        <w:t>D. Başvurucuların tazminat taleplerinin REDDİNE,</w:t>
      </w:r>
    </w:p>
    <w:p w:rsidR="00EE1A81" w:rsidRPr="009B2831" w:rsidRDefault="005B3C7F" w:rsidP="009B2831">
      <w:pPr>
        <w:pStyle w:val="edf1393440552765"/>
        <w:widowControl/>
        <w:suppressAutoHyphens w:val="0"/>
        <w:spacing w:after="200"/>
        <w:ind w:left="283" w:right="283" w:firstLine="567"/>
        <w:jc w:val="both"/>
        <w:rPr>
          <w:rFonts w:cs="Times New Roman"/>
          <w:color w:val="010000"/>
        </w:rPr>
      </w:pPr>
      <w:r w:rsidRPr="009B2831">
        <w:rPr>
          <w:rFonts w:cs="Times New Roman"/>
          <w:color w:val="010000"/>
        </w:rPr>
        <w:t>E. Başvuruculara ekli listenin (E) sütunundaki harç tutarlarının gösterildiği şekliyle ÖDENMESİNE, 30.000 TL vekâlet ücretinden oluşan yargılama giderinin MÜŞTEREKEN ÖDENMESİNE,</w:t>
      </w:r>
    </w:p>
    <w:p w:rsidR="00EE1A81" w:rsidRPr="009B2831" w:rsidRDefault="005B3C7F" w:rsidP="009B2831">
      <w:pPr>
        <w:pStyle w:val="edf1393440552765"/>
        <w:widowControl/>
        <w:suppressAutoHyphens w:val="0"/>
        <w:spacing w:after="200"/>
        <w:ind w:left="283" w:right="283" w:firstLine="567"/>
        <w:jc w:val="both"/>
        <w:rPr>
          <w:rFonts w:cs="Times New Roman"/>
          <w:color w:val="010000"/>
        </w:rPr>
      </w:pPr>
      <w:r w:rsidRPr="009B2831">
        <w:rPr>
          <w:rFonts w:cs="Times New Roman"/>
          <w:color w:val="010000"/>
        </w:rPr>
        <w:t>F.</w:t>
      </w:r>
      <w:r w:rsidR="009B2831" w:rsidRPr="009B2831">
        <w:rPr>
          <w:rFonts w:cs="Times New Roman"/>
          <w:color w:val="010000"/>
        </w:rPr>
        <w:t xml:space="preserve"> </w:t>
      </w:r>
      <w:r w:rsidRPr="009B2831">
        <w:rPr>
          <w:rFonts w:cs="Times New Roman"/>
          <w:color w:val="010000"/>
        </w:rPr>
        <w:t>Ödemelerin kararın tebliğini takiben başvurucuların Hazine ve Maliye Bakanlığına başvuru tarihinden itibaren dört ay içinde yapılmasına, ödemede gecikme olması hâlinde bu sürenin sona erdiği tarihten ödeme tarihine kadar geçen süre için yasal FAİZ UYGULANMASINA,</w:t>
      </w:r>
    </w:p>
    <w:p w:rsidR="00EE1A81" w:rsidRPr="009B2831" w:rsidRDefault="005B3C7F" w:rsidP="009B2831">
      <w:pPr>
        <w:pStyle w:val="edf1393440552765"/>
        <w:widowControl/>
        <w:suppressAutoHyphens w:val="0"/>
        <w:spacing w:after="200"/>
        <w:ind w:left="283" w:right="283" w:firstLine="567"/>
        <w:jc w:val="both"/>
        <w:rPr>
          <w:rFonts w:cs="Times New Roman"/>
          <w:color w:val="010000"/>
        </w:rPr>
      </w:pPr>
      <w:r w:rsidRPr="009B2831">
        <w:rPr>
          <w:rFonts w:cs="Times New Roman"/>
          <w:color w:val="010000"/>
        </w:rPr>
        <w:t xml:space="preserve">G. Kararın bir örneğinin Adalet Bakanlığına GÖNDERİLMESİNE 17/12/2024 tarihinde OYBİRLİĞİYLE karar verildi. </w:t>
      </w:r>
    </w:p>
    <w:sectPr w:rsidR="00EE1A81" w:rsidRPr="009B2831" w:rsidSect="009B2831">
      <w:pgSz w:w="11906" w:h="16838"/>
      <w:pgMar w:top="1264" w:right="1417" w:bottom="1400" w:left="1417" w:header="400" w:footer="708"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E1A81" w:rsidRDefault="005B3C7F">
      <w:r>
        <w:separator/>
      </w:r>
    </w:p>
  </w:endnote>
  <w:endnote w:type="continuationSeparator" w:id="0">
    <w:p w:rsidR="00EE1A81" w:rsidRDefault="005B3C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E1A81" w:rsidRDefault="005B3C7F">
      <w:r>
        <w:separator/>
      </w:r>
    </w:p>
  </w:footnote>
  <w:footnote w:type="continuationSeparator" w:id="0">
    <w:p w:rsidR="00EE1A81" w:rsidRDefault="005B3C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1A81" w:rsidRDefault="005B3C7F">
    <w:pPr>
      <w:pStyle w:val="stBilgi"/>
      <w:tabs>
        <w:tab w:val="left" w:pos="2020"/>
      </w:tabs>
      <w:spacing w:line="288" w:lineRule="exact"/>
    </w:pPr>
    <w:r>
      <w:t>Başvuru Numarası</w:t>
    </w:r>
    <w:r w:rsidR="009B2831">
      <w:tab/>
    </w:r>
    <w:r>
      <w:t>: 2022/68091</w:t>
    </w:r>
  </w:p>
  <w:p w:rsidR="00EE1A81" w:rsidRDefault="005B3C7F">
    <w:pPr>
      <w:pStyle w:val="stBilgi"/>
      <w:tabs>
        <w:tab w:val="left" w:pos="2020"/>
      </w:tabs>
      <w:spacing w:line="288" w:lineRule="exact"/>
    </w:pPr>
    <w:r>
      <w:t xml:space="preserve">Karar Tarihi        </w:t>
    </w:r>
    <w:r w:rsidR="009B2831">
      <w:tab/>
    </w:r>
    <w:r>
      <w:t>: 17/12/2024</w:t>
    </w:r>
  </w:p>
  <w:p w:rsidR="00EE1A81" w:rsidRDefault="00EE1A81">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3C7F"/>
    <w:rsid w:val="005B3C7F"/>
    <w:rsid w:val="009B2831"/>
    <w:rsid w:val="00EE1A8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76DEC9A4"/>
  <w15:chartTrackingRefBased/>
  <w15:docId w15:val="{4DE4F7B7-F765-4E1E-BFF6-62EED0858F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449145527867">
    <w:name w:val="edf_1449145527867"/>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44122128676">
    <w:name w:val="edf_1444122128676"/>
    <w:pPr>
      <w:widowControl w:val="0"/>
      <w:suppressAutoHyphens/>
    </w:pPr>
    <w:rPr>
      <w:rFonts w:eastAsia="Andale Sans UI" w:cs="Tahoma"/>
      <w:kern w:val="2"/>
      <w:sz w:val="24"/>
      <w:szCs w:val="24"/>
      <w:lang w:eastAsia="ja-JP" w:bidi="fa-IR"/>
    </w:rPr>
  </w:style>
  <w:style w:type="paragraph" w:customStyle="1" w:styleId="edf1449652191023">
    <w:name w:val="edf_1449652191023"/>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363590918387">
    <w:name w:val="edf_1363590918387"/>
    <w:pPr>
      <w:widowControl w:val="0"/>
      <w:suppressAutoHyphens/>
    </w:pPr>
    <w:rPr>
      <w:rFonts w:eastAsia="Andale Sans UI" w:cs="Tahoma"/>
      <w:kern w:val="2"/>
      <w:sz w:val="24"/>
      <w:szCs w:val="24"/>
      <w:lang w:eastAsia="ja-JP" w:bidi="fa-IR"/>
    </w:rPr>
  </w:style>
  <w:style w:type="paragraph" w:customStyle="1" w:styleId="edf1449649695004">
    <w:name w:val="edf_1449649695004"/>
    <w:pPr>
      <w:widowControl w:val="0"/>
      <w:suppressAutoHyphens/>
    </w:pPr>
    <w:rPr>
      <w:rFonts w:eastAsia="Andale Sans UI" w:cs="Tahoma"/>
      <w:kern w:val="2"/>
      <w:sz w:val="24"/>
      <w:szCs w:val="24"/>
      <w:lang w:eastAsia="ja-JP" w:bidi="fa-IR"/>
    </w:rPr>
  </w:style>
  <w:style w:type="paragraph" w:customStyle="1" w:styleId="edf1463491831010">
    <w:name w:val="edf_1463491831010"/>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basedOn w:val="Normal"/>
    <w:link w:val="AltBilgiChar"/>
    <w:uiPriority w:val="99"/>
    <w:unhideWhenUsed/>
    <w:rsid w:val="009B2831"/>
    <w:pPr>
      <w:tabs>
        <w:tab w:val="center" w:pos="4536"/>
        <w:tab w:val="right" w:pos="9072"/>
      </w:tabs>
    </w:pPr>
  </w:style>
  <w:style w:type="character" w:customStyle="1" w:styleId="AltBilgiChar">
    <w:name w:val="Alt Bilgi Char"/>
    <w:basedOn w:val="VarsaylanParagrafYazTipi"/>
    <w:link w:val="AltBilgi"/>
    <w:uiPriority w:val="99"/>
    <w:rsid w:val="009B2831"/>
    <w:rPr>
      <w:rFonts w:eastAsia="Andale Sans UI"/>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909</Words>
  <Characters>5186</Characters>
  <Application>Microsoft Office Word</Application>
  <DocSecurity>0</DocSecurity>
  <Lines>43</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Emre EKER</dc:creator>
  <cp:keywords/>
  <cp:lastModifiedBy>Sibel YÖNDEM</cp:lastModifiedBy>
  <cp:revision>3</cp:revision>
  <cp:lastPrinted>1995-11-21T14:41:00Z</cp:lastPrinted>
  <dcterms:created xsi:type="dcterms:W3CDTF">2025-03-06T06:23:00Z</dcterms:created>
  <dcterms:modified xsi:type="dcterms:W3CDTF">2025-03-06T07:48:00Z</dcterms:modified>
</cp:coreProperties>
</file>